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仿宋_GB2312" w:cs="Times New Roman"/>
          <w:color w:val="000000"/>
          <w:sz w:val="32"/>
          <w:szCs w:val="32"/>
          <w:lang w:eastAsia="zh-CN"/>
        </w:rPr>
      </w:pPr>
      <w:r>
        <w:rPr>
          <w:rFonts w:hint="eastAsia" w:ascii="黑体" w:hAnsi="黑体" w:eastAsia="黑体" w:cs="MS Mincho"/>
          <w:kern w:val="2"/>
          <w:sz w:val="32"/>
          <w:szCs w:val="32"/>
          <w:lang w:eastAsia="zh-CN"/>
        </w:rPr>
        <w:t xml:space="preserve">附件1 </w:t>
      </w:r>
      <w:r>
        <w:rPr>
          <w:rFonts w:hint="eastAsia" w:ascii="仿宋" w:hAnsi="仿宋" w:eastAsia="仿宋" w:cs="仿宋"/>
          <w:b/>
          <w:bCs/>
          <w:kern w:val="2"/>
          <w:sz w:val="32"/>
          <w:szCs w:val="40"/>
          <w:lang w:eastAsia="zh-CN"/>
        </w:rPr>
        <w:t xml:space="preserve">   </w:t>
      </w:r>
    </w:p>
    <w:p>
      <w:pPr>
        <w:spacing w:line="560" w:lineRule="exact"/>
        <w:jc w:val="center"/>
        <w:rPr>
          <w:rFonts w:ascii="Times New Roman" w:hAnsi="Times New Roman" w:eastAsia="仿宋_GB2312" w:cs="Times New Roman"/>
          <w:color w:val="000000"/>
          <w:sz w:val="32"/>
          <w:szCs w:val="32"/>
          <w:lang w:eastAsia="zh-CN"/>
        </w:rPr>
      </w:pPr>
    </w:p>
    <w:p>
      <w:pPr>
        <w:spacing w:line="560" w:lineRule="exact"/>
        <w:jc w:val="center"/>
        <w:rPr>
          <w:rFonts w:ascii="方正小标宋简体" w:hAnsi="方正小标宋_GBK" w:eastAsia="方正小标宋简体" w:cs="方正小标宋_GBK"/>
          <w:kern w:val="2"/>
          <w:sz w:val="36"/>
          <w:szCs w:val="36"/>
          <w:lang w:eastAsia="zh-CN"/>
        </w:rPr>
      </w:pPr>
      <w:r>
        <w:rPr>
          <w:rFonts w:hint="eastAsia" w:ascii="方正小标宋简体" w:hAnsi="方正小标宋_GBK" w:eastAsia="方正小标宋简体" w:cs="方正小标宋_GBK"/>
          <w:kern w:val="2"/>
          <w:sz w:val="36"/>
          <w:szCs w:val="36"/>
          <w:lang w:eastAsia="zh-CN"/>
        </w:rPr>
        <w:t>大数据产业人才基地建设指南</w:t>
      </w:r>
    </w:p>
    <w:p>
      <w:pPr>
        <w:spacing w:line="560" w:lineRule="exact"/>
        <w:jc w:val="center"/>
        <w:rPr>
          <w:rFonts w:ascii="Times New Roman" w:hAnsi="Times New Roman" w:eastAsia="仿宋_GB2312" w:cs="Times New Roman"/>
          <w:color w:val="000000"/>
          <w:sz w:val="32"/>
          <w:szCs w:val="32"/>
          <w:lang w:eastAsia="zh-CN"/>
        </w:rPr>
      </w:pPr>
    </w:p>
    <w:p>
      <w:pPr>
        <w:pStyle w:val="7"/>
        <w:spacing w:line="360" w:lineRule="auto"/>
        <w:ind w:left="0" w:right="0" w:firstLine="640" w:firstLineChars="20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为深入贯彻中央人才工作会议精神，落实《国家“十四五”期间人才发展规划》等文件要求，进一步加强大数据产业人才队伍建设，工业和信息化部人才交流中心（以下简称“中心”）与北京易华录信息技术股份有限公司（以下简称“易华录”）支持建设一批具备综合性人才培养与服务功能的大数据产业人才基地，充分发挥示范引领作用，为我国数字经济产业建设提供有力的人才支撑。</w:t>
      </w:r>
    </w:p>
    <w:p>
      <w:pPr>
        <w:pStyle w:val="7"/>
        <w:spacing w:before="140" w:line="360" w:lineRule="auto"/>
        <w:ind w:left="0" w:right="357" w:firstLine="640" w:firstLineChars="200"/>
        <w:rPr>
          <w:rFonts w:ascii="黑体" w:hAnsi="黑体" w:eastAsia="黑体"/>
          <w:color w:val="333333"/>
          <w:sz w:val="32"/>
          <w:szCs w:val="32"/>
          <w:lang w:eastAsia="zh-CN"/>
        </w:rPr>
      </w:pPr>
      <w:r>
        <w:rPr>
          <w:rFonts w:ascii="黑体" w:hAnsi="黑体" w:eastAsia="黑体"/>
          <w:color w:val="333333"/>
          <w:sz w:val="32"/>
          <w:szCs w:val="32"/>
          <w:lang w:eastAsia="zh-CN"/>
        </w:rPr>
        <w:t>一、项目背景</w:t>
      </w:r>
    </w:p>
    <w:p>
      <w:pPr>
        <w:pStyle w:val="16"/>
        <w:spacing w:line="360" w:lineRule="auto"/>
        <w:ind w:left="0" w:leftChars="0" w:firstLine="640" w:firstLineChars="200"/>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eastAsia="zh-CN"/>
        </w:rPr>
        <w:t>2022年《国务院政府工作报告》中提出：促进数字经济发展，加强数字中国建设整体布局。建设数字信息基础设施，逐步构建全国一体化大数据中心体系。促进产业数字化转型，发展智慧城市、数字乡村。加快发展工业互联网，培育壮大集成电路、人工智能等数字产业，提升关键软硬件技术创新和供给能力。完善数字经济治理，培育数据要素市场，释放数据要素潜力，提高应用能力，更好赋能经济发展、丰富人民生活。</w:t>
      </w:r>
    </w:p>
    <w:p>
      <w:pPr>
        <w:spacing w:line="360" w:lineRule="auto"/>
        <w:ind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2021年11月15日中国工业和信息化部（以下简称工信部）发布了: 关于印发《“十四五”大数据产业发展规划》的通知。“规划”中明确：数据是新时代重要的生产要素，是国家基础性战略资源。大数据是数据的集合，以容量大、类型多、速度快、精度准、价值高为主要特征，是推动经济转型发展的新动力，是提升政府治理能力的新途径，是重塑国家竞争优势的新机遇。“十四五”时期是我国工业经济向数字经济迈进的关键时期，数据爆炸式增长、大数据行业市场规模持续扩大，大数据行业应用人才瓶颈日益凸显。</w:t>
      </w:r>
    </w:p>
    <w:p>
      <w:pPr>
        <w:pStyle w:val="7"/>
        <w:spacing w:line="360" w:lineRule="auto"/>
        <w:ind w:left="0" w:right="0" w:firstLine="640" w:firstLineChars="200"/>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据《中国经济的数字化转型：人才与就业》报告显示，“预计2035年，中国数字经济总就业容量将达到4.15亿，如果不实施有效的人才战略，到那时可能会出现巨大的人才缺口，不只在数量上，还有技能方面的缺口”。在当前形势下，人才交流中心联合北京易华录共同发挥平台、资源、品牌和专业技术优势，以大数据产业人才基地建设为突破口，以院校、企业为实施主体，坚持教育创新、人才培养、产业发展深度融合，联合申报单位打造大数据产业学院、人才培养基地、科技创新高地和产业赋能中心。</w:t>
      </w:r>
    </w:p>
    <w:p>
      <w:pPr>
        <w:pStyle w:val="7"/>
        <w:spacing w:before="140" w:line="360" w:lineRule="auto"/>
        <w:ind w:left="0" w:right="357" w:firstLine="640" w:firstLineChars="200"/>
        <w:rPr>
          <w:rFonts w:ascii="黑体" w:hAnsi="黑体" w:eastAsia="黑体"/>
          <w:color w:val="333333"/>
          <w:sz w:val="32"/>
          <w:szCs w:val="32"/>
          <w:lang w:eastAsia="zh-CN"/>
        </w:rPr>
      </w:pPr>
      <w:r>
        <w:rPr>
          <w:rFonts w:hint="eastAsia" w:ascii="黑体" w:hAnsi="黑体" w:eastAsia="黑体"/>
          <w:color w:val="333333"/>
          <w:sz w:val="32"/>
          <w:szCs w:val="32"/>
          <w:lang w:eastAsia="zh-CN"/>
        </w:rPr>
        <w:t>二</w:t>
      </w:r>
      <w:r>
        <w:rPr>
          <w:rFonts w:ascii="黑体" w:hAnsi="黑体" w:eastAsia="黑体"/>
          <w:color w:val="333333"/>
          <w:sz w:val="32"/>
          <w:szCs w:val="32"/>
          <w:lang w:eastAsia="zh-CN"/>
        </w:rPr>
        <w:t>、项目目标</w:t>
      </w:r>
    </w:p>
    <w:p>
      <w:pPr>
        <w:pStyle w:val="7"/>
        <w:spacing w:line="360" w:lineRule="auto"/>
        <w:ind w:left="0" w:right="0" w:firstLine="640" w:firstLineChars="20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支持合作单位，在三年内建成一批大数据产业人才基地。政行企校密切联动，产教学研深度融合，充分汇聚行业头部企业和院校优势，打造“人才基地+产业学院+园区企业”模式下的产教融合创新生态，加快推动大数据行业数字化、信息化、网络化、智能化转型升级。具体措施：</w:t>
      </w:r>
    </w:p>
    <w:p>
      <w:pPr>
        <w:pStyle w:val="7"/>
        <w:spacing w:line="360" w:lineRule="auto"/>
        <w:ind w:left="0" w:right="0" w:firstLine="640" w:firstLineChars="200"/>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lang w:eastAsia="zh-CN"/>
        </w:rPr>
        <w:t>共</w:t>
      </w:r>
      <w:r>
        <w:rPr>
          <w:rFonts w:hint="eastAsia" w:ascii="仿宋" w:hAnsi="仿宋" w:eastAsia="仿宋" w:cs="仿宋"/>
          <w:color w:val="000000"/>
          <w:sz w:val="32"/>
          <w:szCs w:val="32"/>
          <w:lang w:eastAsia="zh-CN"/>
        </w:rPr>
        <w:t>建大数据产业人才基地，因地制宜打造人才培养、岗位评价、生产服务、技术研发、科学研究、创新创业等多功能的公共服务综合体，在稳定就业、调整人才结构、服务产业升级、配合招商引资等方面持续发挥作用。</w:t>
      </w:r>
    </w:p>
    <w:p>
      <w:pPr>
        <w:pStyle w:val="7"/>
        <w:spacing w:line="360" w:lineRule="auto"/>
        <w:ind w:left="0" w:leftChars="0" w:right="0" w:firstLine="640" w:firstLineChars="200"/>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val="en-US" w:eastAsia="zh-CN"/>
        </w:rPr>
        <w:t>2.</w:t>
      </w:r>
      <w:r>
        <w:rPr>
          <w:rFonts w:hint="eastAsia" w:ascii="仿宋" w:hAnsi="仿宋" w:eastAsia="仿宋" w:cs="仿宋"/>
          <w:color w:val="000000"/>
          <w:sz w:val="32"/>
          <w:szCs w:val="32"/>
          <w:lang w:eastAsia="zh-CN"/>
        </w:rPr>
        <w:t>推进建设大数据产业学院，根据教育部、工业和信息化部制定的《现代产业学院建设指南（试行）》，建立产教融合协同育人长效机制，赋能大数据、人工智能、智慧交通等数字技术高水平专业群建设。</w:t>
      </w:r>
    </w:p>
    <w:p>
      <w:pPr>
        <w:pStyle w:val="7"/>
        <w:spacing w:line="360" w:lineRule="auto"/>
        <w:ind w:left="0" w:leftChars="0" w:right="0" w:firstLine="640" w:firstLineChars="200"/>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val="en-US" w:eastAsia="zh-CN"/>
        </w:rPr>
        <w:t>3.</w:t>
      </w:r>
      <w:r>
        <w:rPr>
          <w:rFonts w:hint="eastAsia" w:ascii="仿宋" w:hAnsi="仿宋" w:eastAsia="仿宋" w:cs="仿宋"/>
          <w:color w:val="000000"/>
          <w:sz w:val="32"/>
          <w:szCs w:val="32"/>
          <w:lang w:eastAsia="zh-CN"/>
        </w:rPr>
        <w:t>推进建设大数据“双师型”教师培养基地，提供教学理念、教学方法、课程开发、专业技术等全体系师资培训模块，有计划、有组织地为院校教师和企业培训师提供系统性培训和实践研修服务，结合真实项目案例，为全面提高复合型技术技能人才培养质量提供师资支撑。</w:t>
      </w:r>
    </w:p>
    <w:p>
      <w:pPr>
        <w:pStyle w:val="7"/>
        <w:spacing w:line="360" w:lineRule="auto"/>
        <w:ind w:left="0" w:leftChars="0" w:right="0" w:firstLine="640" w:firstLineChars="200"/>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val="en-US" w:eastAsia="zh-CN"/>
        </w:rPr>
        <w:t>4.</w:t>
      </w:r>
      <w:r>
        <w:rPr>
          <w:rFonts w:hint="eastAsia" w:ascii="仿宋" w:hAnsi="仿宋" w:eastAsia="仿宋" w:cs="仿宋"/>
          <w:color w:val="000000"/>
          <w:sz w:val="32"/>
          <w:szCs w:val="32"/>
          <w:lang w:eastAsia="zh-CN"/>
        </w:rPr>
        <w:t>深入研究大数据产教融合人才培养标准化体系，涵盖基地规划、教学工厂设计、人才培养方案、课程开发、师资团队建设、质量评估等方面，形成一批具有影响力的标志性成果，填补国内产教融合标准化领域的空白。</w:t>
      </w:r>
    </w:p>
    <w:p>
      <w:pPr>
        <w:pStyle w:val="7"/>
        <w:numPr>
          <w:ilvl w:val="0"/>
          <w:numId w:val="1"/>
        </w:numPr>
        <w:spacing w:before="140" w:line="360" w:lineRule="auto"/>
        <w:ind w:left="0" w:right="357" w:firstLine="640" w:firstLineChars="200"/>
        <w:rPr>
          <w:rFonts w:ascii="黑体" w:hAnsi="黑体" w:eastAsia="黑体"/>
          <w:color w:val="333333"/>
          <w:sz w:val="32"/>
          <w:szCs w:val="32"/>
          <w:lang w:eastAsia="zh-CN"/>
        </w:rPr>
      </w:pPr>
      <w:r>
        <w:rPr>
          <w:rFonts w:hint="eastAsia" w:ascii="黑体" w:hAnsi="黑体" w:eastAsia="黑体"/>
          <w:color w:val="333333"/>
          <w:sz w:val="32"/>
          <w:szCs w:val="32"/>
          <w:lang w:eastAsia="zh-CN"/>
        </w:rPr>
        <w:t>主要任务</w:t>
      </w:r>
    </w:p>
    <w:p>
      <w:pPr>
        <w:overflowPunct w:val="0"/>
        <w:adjustRightInd w:val="0"/>
        <w:snapToGrid w:val="0"/>
        <w:spacing w:line="360" w:lineRule="auto"/>
        <w:ind w:firstLine="640" w:firstLineChars="200"/>
        <w:outlineLvl w:val="1"/>
        <w:rPr>
          <w:rFonts w:ascii="仿宋" w:hAnsi="仿宋" w:eastAsia="仿宋" w:cs="仿宋"/>
          <w:sz w:val="32"/>
          <w:szCs w:val="24"/>
          <w:lang w:eastAsia="zh-CN"/>
        </w:rPr>
      </w:pPr>
      <w:r>
        <w:rPr>
          <w:rFonts w:hint="default" w:ascii="Times New Roman" w:hAnsi="Times New Roman" w:eastAsia="新宋体" w:cs="Times New Roman"/>
          <w:b w:val="0"/>
          <w:bCs w:val="0"/>
          <w:sz w:val="32"/>
          <w:szCs w:val="24"/>
          <w:lang w:val="en-US" w:eastAsia="zh-CN"/>
        </w:rPr>
        <w:t>1.</w:t>
      </w:r>
      <w:r>
        <w:rPr>
          <w:rFonts w:hint="eastAsia" w:ascii="楷体" w:hAnsi="楷体" w:eastAsia="楷体" w:cs="楷体"/>
          <w:b w:val="0"/>
          <w:bCs w:val="0"/>
          <w:sz w:val="32"/>
          <w:szCs w:val="24"/>
          <w:lang w:eastAsia="zh-CN"/>
        </w:rPr>
        <w:t>开展人才培养课题研究：</w:t>
      </w:r>
      <w:r>
        <w:rPr>
          <w:rFonts w:hint="eastAsia" w:ascii="仿宋" w:hAnsi="仿宋" w:eastAsia="仿宋" w:cs="仿宋"/>
          <w:sz w:val="32"/>
          <w:szCs w:val="24"/>
          <w:lang w:eastAsia="zh-CN"/>
        </w:rPr>
        <w:t>由联合申办单位作为牵头方，基于大数据人才培养基地，要从促进地区大数据产业发展为办学出发点，打造产学研一体平台，着力解决当地的人才短缺现象，以服务相关产业发展为目标。积极同相关企业进行需求对接，实现人才的有效培养，避免教育和社会脱节。</w:t>
      </w:r>
    </w:p>
    <w:p>
      <w:pPr>
        <w:overflowPunct w:val="0"/>
        <w:adjustRightInd w:val="0"/>
        <w:snapToGrid w:val="0"/>
        <w:spacing w:line="360" w:lineRule="auto"/>
        <w:ind w:firstLine="640" w:firstLineChars="200"/>
        <w:outlineLvl w:val="1"/>
        <w:rPr>
          <w:rFonts w:ascii="仿宋" w:hAnsi="仿宋" w:eastAsia="仿宋" w:cs="仿宋"/>
          <w:sz w:val="32"/>
          <w:szCs w:val="24"/>
          <w:lang w:eastAsia="zh-CN"/>
        </w:rPr>
      </w:pPr>
      <w:r>
        <w:rPr>
          <w:rFonts w:hint="default" w:ascii="Times New Roman" w:hAnsi="Times New Roman" w:eastAsia="仿宋" w:cs="Times New Roman"/>
          <w:b w:val="0"/>
          <w:bCs w:val="0"/>
          <w:sz w:val="32"/>
          <w:szCs w:val="24"/>
          <w:lang w:val="en-US" w:eastAsia="zh-CN"/>
        </w:rPr>
        <w:t>2.</w:t>
      </w:r>
      <w:r>
        <w:rPr>
          <w:rFonts w:hint="eastAsia" w:ascii="楷体" w:hAnsi="楷体" w:eastAsia="楷体" w:cs="楷体"/>
          <w:b w:val="0"/>
          <w:bCs w:val="0"/>
          <w:sz w:val="32"/>
          <w:szCs w:val="24"/>
          <w:lang w:eastAsia="zh-CN"/>
        </w:rPr>
        <w:t>制定数字人才评价标准</w:t>
      </w:r>
      <w:r>
        <w:rPr>
          <w:rFonts w:hint="eastAsia" w:ascii="仿宋" w:hAnsi="仿宋" w:eastAsia="仿宋" w:cs="仿宋"/>
          <w:sz w:val="32"/>
          <w:szCs w:val="24"/>
          <w:lang w:eastAsia="zh-CN"/>
        </w:rPr>
        <w:t>：遵照国家规定和产业要求，引入工信部人才交流中心的《大数据产业人才岗位能力要求》和《大数据从业人员能力要求》标准，使得地区的人才培养有据可依，通过评价认定一批大数据产业从业人员，并将这些数字人才纳入“地方数字人才库，帮助企业了解自身数字人才队伍结构、质量，可以在未来有针对性地不断进行调控和优化。</w:t>
      </w:r>
    </w:p>
    <w:p>
      <w:pPr>
        <w:overflowPunct w:val="0"/>
        <w:adjustRightInd w:val="0"/>
        <w:snapToGrid w:val="0"/>
        <w:spacing w:line="360" w:lineRule="auto"/>
        <w:ind w:firstLine="640" w:firstLineChars="200"/>
        <w:outlineLvl w:val="1"/>
        <w:rPr>
          <w:rFonts w:ascii="仿宋" w:hAnsi="仿宋" w:eastAsia="仿宋" w:cs="仿宋"/>
          <w:sz w:val="32"/>
          <w:szCs w:val="24"/>
          <w:lang w:eastAsia="zh-CN"/>
        </w:rPr>
      </w:pPr>
      <w:r>
        <w:rPr>
          <w:rFonts w:hint="default" w:ascii="Times New Roman" w:hAnsi="Times New Roman" w:eastAsia="楷体" w:cs="Times New Roman"/>
          <w:b w:val="0"/>
          <w:bCs w:val="0"/>
          <w:sz w:val="32"/>
          <w:szCs w:val="24"/>
          <w:lang w:val="en-US" w:eastAsia="zh-CN"/>
        </w:rPr>
        <w:t>3.</w:t>
      </w:r>
      <w:r>
        <w:rPr>
          <w:rFonts w:hint="default" w:ascii="Times New Roman" w:hAnsi="Times New Roman" w:eastAsia="楷体" w:cs="Times New Roman"/>
          <w:b w:val="0"/>
          <w:bCs w:val="0"/>
          <w:sz w:val="32"/>
          <w:szCs w:val="24"/>
          <w:lang w:eastAsia="zh-CN"/>
        </w:rPr>
        <w:t>构建数字人才发展培养体系：</w:t>
      </w:r>
      <w:r>
        <w:rPr>
          <w:rFonts w:hint="eastAsia" w:ascii="仿宋" w:hAnsi="仿宋" w:eastAsia="仿宋" w:cs="仿宋"/>
          <w:sz w:val="32"/>
          <w:szCs w:val="24"/>
          <w:lang w:eastAsia="zh-CN"/>
        </w:rPr>
        <w:t>引进一套面向产业实战需求，面向地方产业发展需求的数字人才培养体系，保障人才培养的前沿性、靶向性，更加科学、规范、高效、系统的培养地方所需的数字产业人才队伍，为企业的人才营商环境的打造做好支撑。</w:t>
      </w:r>
    </w:p>
    <w:p>
      <w:pPr>
        <w:overflowPunct w:val="0"/>
        <w:adjustRightInd w:val="0"/>
        <w:snapToGrid w:val="0"/>
        <w:spacing w:line="360" w:lineRule="auto"/>
        <w:ind w:firstLine="640" w:firstLineChars="200"/>
        <w:jc w:val="both"/>
        <w:outlineLvl w:val="1"/>
        <w:rPr>
          <w:rFonts w:ascii="仿宋" w:hAnsi="仿宋" w:eastAsia="仿宋" w:cs="仿宋"/>
          <w:sz w:val="32"/>
          <w:szCs w:val="24"/>
          <w:lang w:eastAsia="zh-CN"/>
        </w:rPr>
      </w:pPr>
      <w:r>
        <w:rPr>
          <w:rFonts w:hint="default" w:ascii="Times New Roman" w:hAnsi="Times New Roman" w:eastAsia="楷体" w:cs="Times New Roman"/>
          <w:b w:val="0"/>
          <w:bCs w:val="0"/>
          <w:sz w:val="32"/>
          <w:szCs w:val="24"/>
          <w:lang w:val="en-US" w:eastAsia="zh-CN"/>
        </w:rPr>
        <w:t>4.</w:t>
      </w:r>
      <w:r>
        <w:rPr>
          <w:rFonts w:hint="default" w:ascii="Times New Roman" w:hAnsi="Times New Roman" w:eastAsia="楷体" w:cs="Times New Roman"/>
          <w:b w:val="0"/>
          <w:bCs w:val="0"/>
          <w:sz w:val="32"/>
          <w:szCs w:val="24"/>
          <w:lang w:eastAsia="zh-CN"/>
        </w:rPr>
        <w:t>搭建实训培养平台：</w:t>
      </w:r>
      <w:r>
        <w:rPr>
          <w:rFonts w:hint="eastAsia" w:ascii="仿宋" w:hAnsi="仿宋" w:eastAsia="仿宋" w:cs="仿宋"/>
          <w:sz w:val="32"/>
          <w:szCs w:val="24"/>
          <w:lang w:eastAsia="zh-CN"/>
        </w:rPr>
        <w:t>面向产、学、研的综合人才培养平台，依托易华录数据湖的平台优势，打造多层次、多模式的复合型数字人才培养平台，人才工作依附于产业发展。通过企业为人才提供平台，做到人岗相适，让本土人才得到实践锻炼。</w:t>
      </w:r>
    </w:p>
    <w:p>
      <w:pPr>
        <w:overflowPunct w:val="0"/>
        <w:adjustRightInd w:val="0"/>
        <w:snapToGrid w:val="0"/>
        <w:spacing w:line="360" w:lineRule="auto"/>
        <w:ind w:firstLine="640" w:firstLineChars="200"/>
        <w:jc w:val="both"/>
        <w:outlineLvl w:val="1"/>
        <w:rPr>
          <w:rFonts w:ascii="仿宋" w:hAnsi="仿宋" w:eastAsia="仿宋" w:cs="仿宋"/>
          <w:sz w:val="32"/>
          <w:szCs w:val="24"/>
          <w:lang w:eastAsia="zh-CN"/>
        </w:rPr>
      </w:pPr>
      <w:r>
        <w:rPr>
          <w:rFonts w:hint="default" w:ascii="Times New Roman" w:hAnsi="Times New Roman" w:eastAsia="楷体" w:cs="Times New Roman"/>
          <w:b w:val="0"/>
          <w:bCs w:val="0"/>
          <w:sz w:val="32"/>
          <w:szCs w:val="24"/>
          <w:lang w:val="en-US" w:eastAsia="zh-CN"/>
        </w:rPr>
        <w:t>5.</w:t>
      </w:r>
      <w:r>
        <w:rPr>
          <w:rFonts w:hint="default" w:ascii="Times New Roman" w:hAnsi="Times New Roman" w:eastAsia="楷体" w:cs="Times New Roman"/>
          <w:b w:val="0"/>
          <w:bCs w:val="0"/>
          <w:sz w:val="32"/>
          <w:szCs w:val="24"/>
          <w:lang w:eastAsia="zh-CN"/>
        </w:rPr>
        <w:t>建设一个培养基地</w:t>
      </w:r>
      <w:r>
        <w:rPr>
          <w:rFonts w:hint="eastAsia" w:ascii="仿宋" w:hAnsi="仿宋" w:eastAsia="仿宋" w:cs="仿宋"/>
          <w:sz w:val="32"/>
          <w:szCs w:val="24"/>
          <w:lang w:eastAsia="zh-CN"/>
        </w:rPr>
        <w:t>：搭建“数字人才培训基地”，基地将面向政府、企业、学校、个人开展数字技术的教育和人才培养，校企合作培养“双师型”教师，通过培训、论坛、大赛、活动等多种形式，提升地区全面数字素养，力争成为国家、地区、行业认可的职业技能及数字人才培养机构，成为地区数字人才培养的发动机。</w:t>
      </w:r>
    </w:p>
    <w:p>
      <w:pPr>
        <w:overflowPunct w:val="0"/>
        <w:adjustRightInd w:val="0"/>
        <w:snapToGrid w:val="0"/>
        <w:spacing w:line="360" w:lineRule="auto"/>
        <w:ind w:firstLine="640" w:firstLineChars="200"/>
        <w:jc w:val="both"/>
        <w:outlineLvl w:val="1"/>
        <w:rPr>
          <w:rFonts w:ascii="仿宋" w:hAnsi="仿宋" w:eastAsia="仿宋" w:cs="仿宋"/>
          <w:sz w:val="32"/>
          <w:szCs w:val="24"/>
          <w:lang w:eastAsia="zh-CN"/>
        </w:rPr>
      </w:pPr>
      <w:r>
        <w:rPr>
          <w:rFonts w:hint="default" w:ascii="Times New Roman" w:hAnsi="Times New Roman" w:eastAsia="楷体" w:cs="Times New Roman"/>
          <w:b w:val="0"/>
          <w:bCs w:val="0"/>
          <w:sz w:val="32"/>
          <w:szCs w:val="24"/>
          <w:lang w:val="en-US" w:eastAsia="zh-CN"/>
        </w:rPr>
        <w:t>6.</w:t>
      </w:r>
      <w:r>
        <w:rPr>
          <w:rFonts w:hint="default" w:ascii="Times New Roman" w:hAnsi="Times New Roman" w:eastAsia="楷体" w:cs="Times New Roman"/>
          <w:b w:val="0"/>
          <w:bCs w:val="0"/>
          <w:sz w:val="32"/>
          <w:szCs w:val="24"/>
          <w:lang w:eastAsia="zh-CN"/>
        </w:rPr>
        <w:t>开展产学研协同能力提升计划：</w:t>
      </w:r>
      <w:r>
        <w:rPr>
          <w:rFonts w:hint="eastAsia" w:ascii="仿宋" w:hAnsi="仿宋" w:eastAsia="仿宋" w:cs="仿宋"/>
          <w:sz w:val="32"/>
          <w:szCs w:val="24"/>
          <w:lang w:eastAsia="zh-CN"/>
        </w:rPr>
        <w:t>为解决政务数字化、企业数字化、教育数字化、全民数字化的素养及能力提升，着力建设以“资源汇集、线上学习、信息发布、社群交流”为核心的模式，构建覆盖全民、城乡融合、可持续发展的数字素养与技能人才体系，拓展全民数字生活、数字工作、数字学习、数字创新等场景，提升全民数字化适应力、胜任力、创造力，增强人才积累，厚植创新发展新优势。</w:t>
      </w:r>
    </w:p>
    <w:p>
      <w:pPr>
        <w:overflowPunct w:val="0"/>
        <w:adjustRightInd w:val="0"/>
        <w:snapToGrid w:val="0"/>
        <w:spacing w:line="360" w:lineRule="auto"/>
        <w:ind w:firstLine="640" w:firstLineChars="200"/>
        <w:jc w:val="both"/>
        <w:outlineLvl w:val="1"/>
        <w:rPr>
          <w:rFonts w:ascii="仿宋" w:hAnsi="仿宋" w:eastAsia="仿宋" w:cs="仿宋"/>
          <w:color w:val="333333"/>
          <w:sz w:val="32"/>
          <w:szCs w:val="32"/>
          <w:lang w:eastAsia="zh-CN"/>
        </w:rPr>
      </w:pPr>
      <w:r>
        <w:rPr>
          <w:rFonts w:hint="default" w:ascii="Times New Roman" w:hAnsi="Times New Roman" w:eastAsia="楷体" w:cs="Times New Roman"/>
          <w:b w:val="0"/>
          <w:bCs w:val="0"/>
          <w:sz w:val="32"/>
          <w:szCs w:val="24"/>
          <w:lang w:val="en-US" w:eastAsia="zh-CN"/>
        </w:rPr>
        <w:t>7.</w:t>
      </w:r>
      <w:r>
        <w:rPr>
          <w:rFonts w:hint="default" w:ascii="Times New Roman" w:hAnsi="Times New Roman" w:eastAsia="楷体" w:cs="Times New Roman"/>
          <w:b w:val="0"/>
          <w:bCs w:val="0"/>
          <w:sz w:val="32"/>
          <w:szCs w:val="24"/>
          <w:lang w:eastAsia="zh-CN"/>
        </w:rPr>
        <w:t>提供就业支持保障体系：</w:t>
      </w:r>
      <w:r>
        <w:rPr>
          <w:rFonts w:hint="eastAsia" w:ascii="仿宋" w:hAnsi="仿宋" w:eastAsia="仿宋" w:cs="仿宋"/>
          <w:sz w:val="32"/>
          <w:szCs w:val="24"/>
          <w:lang w:eastAsia="zh-CN"/>
        </w:rPr>
        <w:t>加大企业创新激励力度，特别是在行政审批、税收政策与融资渠道等方面应适当放宽限制。着力构建有利于各类劳动者就业创业的制度保障和服务支撑，以“平台雇佣模式、工业互联网平台就业、信息内容平台就业、电商平台就业、劳务平台就业”为核心的就业保证体系。</w:t>
      </w:r>
    </w:p>
    <w:p>
      <w:pPr>
        <w:pStyle w:val="7"/>
        <w:spacing w:before="140" w:line="360" w:lineRule="auto"/>
        <w:ind w:left="0" w:right="357" w:firstLine="640" w:firstLineChars="200"/>
        <w:rPr>
          <w:rFonts w:ascii="黑体" w:hAnsi="黑体" w:eastAsia="黑体"/>
          <w:color w:val="333333"/>
          <w:sz w:val="32"/>
          <w:szCs w:val="32"/>
          <w:lang w:eastAsia="zh-CN"/>
        </w:rPr>
      </w:pPr>
      <w:r>
        <w:rPr>
          <w:rFonts w:hint="eastAsia" w:ascii="黑体" w:hAnsi="黑体" w:eastAsia="黑体"/>
          <w:color w:val="333333"/>
          <w:sz w:val="32"/>
          <w:szCs w:val="32"/>
          <w:lang w:eastAsia="zh-CN"/>
        </w:rPr>
        <w:t>四、项目支持</w:t>
      </w:r>
    </w:p>
    <w:p>
      <w:pPr>
        <w:spacing w:line="360" w:lineRule="auto"/>
        <w:ind w:firstLine="640" w:firstLineChars="200"/>
        <w:jc w:val="both"/>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中心与易华录共建的产业人才赋能基地大数据研发中心为载体，共同组织评审专家，协同开展项目的评审立项及后期建设督导工作，为参建单位量身定制产业人才基地建设和运营方案，在合作期内为参建单位提供全方位支持。</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（一）适时通过遴选优秀案例、召开专题研讨会等形式，进行成果展示和经验交流，提升院校知名度与影响力。</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（二）获得中心、地方工信厅（局）等行业主管部门的指导与政策支持，深度参与地区产业人才培养工作。</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（三）优先参与中心、头部企业组织的重点领域细分岗位人才需求调研，优先参与岗位人才能力标准制定。</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（四）获得资深专家团队的咨询指导服务，不限于评估诊断、专家咨询、研究开发、培训辅导、现场服务等方式。</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（五）授权开展本地区乃至全国范围内的大数据产业人才培训，以及开展配套的岗位能力测评，获得经济效益和社会效益。</w:t>
      </w:r>
    </w:p>
    <w:p>
      <w:pPr>
        <w:spacing w:line="360" w:lineRule="auto"/>
        <w:ind w:firstLine="640" w:firstLineChars="20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（六）优先加入产业人才基地联盟，获得政府、企业、高校的资源支持，共同举办人才论坛、人才报告发布会等活动。</w:t>
      </w:r>
    </w:p>
    <w:p>
      <w:pPr>
        <w:pStyle w:val="7"/>
        <w:spacing w:before="140" w:line="360" w:lineRule="auto"/>
        <w:ind w:left="0" w:right="357" w:firstLine="640" w:firstLineChars="200"/>
        <w:rPr>
          <w:rFonts w:ascii="黑体" w:hAnsi="黑体" w:eastAsia="黑体"/>
          <w:color w:val="333333"/>
          <w:sz w:val="32"/>
          <w:szCs w:val="32"/>
          <w:lang w:eastAsia="zh-CN"/>
        </w:rPr>
      </w:pPr>
      <w:r>
        <w:rPr>
          <w:rFonts w:hint="eastAsia" w:ascii="黑体" w:hAnsi="黑体" w:eastAsia="黑体"/>
          <w:color w:val="333333"/>
          <w:sz w:val="32"/>
          <w:szCs w:val="32"/>
          <w:lang w:eastAsia="zh-CN"/>
        </w:rPr>
        <w:t>五、申报与建设</w:t>
      </w:r>
    </w:p>
    <w:p>
      <w:pPr>
        <w:spacing w:line="360" w:lineRule="auto"/>
        <w:ind w:firstLine="640" w:firstLineChars="200"/>
        <w:jc w:val="both"/>
        <w:rPr>
          <w:rFonts w:ascii="楷体" w:hAnsi="楷体" w:eastAsia="楷体" w:cs="楷体"/>
          <w:color w:val="000000"/>
          <w:sz w:val="32"/>
          <w:szCs w:val="32"/>
          <w:lang w:eastAsia="zh-CN"/>
        </w:rPr>
      </w:pPr>
      <w:r>
        <w:rPr>
          <w:rFonts w:hint="eastAsia" w:ascii="楷体" w:hAnsi="楷体" w:eastAsia="楷体" w:cs="楷体"/>
          <w:color w:val="000000"/>
          <w:sz w:val="32"/>
          <w:szCs w:val="32"/>
          <w:lang w:eastAsia="zh-CN"/>
        </w:rPr>
        <w:t>（一）申报条件</w:t>
      </w:r>
    </w:p>
    <w:p>
      <w:pPr>
        <w:spacing w:line="360" w:lineRule="auto"/>
        <w:ind w:firstLine="640" w:firstLineChars="200"/>
        <w:jc w:val="both"/>
        <w:rPr>
          <w:rFonts w:hint="default" w:ascii="Times New Roman" w:hAnsi="Times New Roman" w:eastAsia="仿宋" w:cs="Times New Roman"/>
          <w:color w:val="000000"/>
          <w:sz w:val="32"/>
          <w:szCs w:val="32"/>
          <w:lang w:eastAsia="zh-CN"/>
        </w:rPr>
      </w:pPr>
      <w:r>
        <w:rPr>
          <w:rFonts w:hint="eastAsia" w:ascii="仿宋" w:hAnsi="仿宋" w:eastAsia="仿宋" w:cs="仿宋"/>
          <w:color w:val="000000"/>
          <w:sz w:val="32"/>
          <w:szCs w:val="32"/>
          <w:lang w:eastAsia="zh-CN"/>
        </w:rPr>
        <w:t>申报主体为头部企业、专业机构、行业协会、优质院校等</w:t>
      </w:r>
      <w:r>
        <w:rPr>
          <w:rFonts w:hint="default" w:ascii="Times New Roman" w:hAnsi="Times New Roman" w:eastAsia="仿宋" w:cs="Times New Roman"/>
          <w:color w:val="000000"/>
          <w:sz w:val="32"/>
          <w:szCs w:val="32"/>
          <w:lang w:eastAsia="zh-CN"/>
        </w:rPr>
        <w:t>，具体要求如下：</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1.在中国境内依法登记注册、具有独立法人资格；</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2.在申报区域内具有一定的社会影响力；</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3.具备完成基地建设任务的基础条件和运营团队；</w:t>
      </w:r>
    </w:p>
    <w:p>
      <w:pPr>
        <w:pStyle w:val="14"/>
        <w:spacing w:before="0" w:line="360" w:lineRule="auto"/>
        <w:ind w:left="0" w:firstLine="640" w:firstLineChars="200"/>
        <w:jc w:val="both"/>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eastAsia="zh-CN"/>
        </w:rPr>
        <w:t>4.能够为</w:t>
      </w:r>
      <w:r>
        <w:rPr>
          <w:rFonts w:hint="eastAsia" w:ascii="仿宋" w:hAnsi="仿宋" w:eastAsia="仿宋" w:cs="仿宋"/>
          <w:color w:val="000000"/>
          <w:sz w:val="32"/>
          <w:szCs w:val="32"/>
          <w:lang w:eastAsia="zh-CN"/>
        </w:rPr>
        <w:t>完成基地建设提供政策和资金支持。</w:t>
      </w:r>
    </w:p>
    <w:p>
      <w:pPr>
        <w:spacing w:line="360" w:lineRule="auto"/>
        <w:ind w:firstLine="640" w:firstLineChars="200"/>
        <w:jc w:val="both"/>
        <w:rPr>
          <w:rFonts w:ascii="楷体" w:hAnsi="楷体" w:eastAsia="楷体" w:cs="楷体"/>
          <w:color w:val="000000"/>
          <w:sz w:val="32"/>
          <w:szCs w:val="32"/>
          <w:lang w:eastAsia="zh-CN"/>
        </w:rPr>
      </w:pPr>
      <w:r>
        <w:rPr>
          <w:rFonts w:hint="eastAsia" w:ascii="楷体" w:hAnsi="楷体" w:eastAsia="楷体" w:cs="楷体"/>
          <w:color w:val="000000"/>
          <w:sz w:val="32"/>
          <w:szCs w:val="32"/>
          <w:lang w:eastAsia="zh-CN"/>
        </w:rPr>
        <w:t>（二）评审流程</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1.申报单位应认真阅读通知及指南，在自愿基础上申报，对建设所需的资金、人员、场地等要素进行初步规划，单位负责人批准后提交申报材料。</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2.组织评审专家线上或线下调研，系统考察申报单位申报材料的合理性、真实性以及建设基础，形成评审意见。</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3.依据产业资源分布特点与申报高校实际情况，结合专家评审意见遴选入围高校。</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4.明确合作机制、签订合作协议后，书面通知启动立项，正式公布并授牌。</w:t>
      </w:r>
    </w:p>
    <w:p>
      <w:pPr>
        <w:spacing w:line="360" w:lineRule="auto"/>
        <w:ind w:firstLine="640" w:firstLineChars="200"/>
        <w:jc w:val="both"/>
        <w:rPr>
          <w:rFonts w:ascii="楷体" w:hAnsi="楷体" w:eastAsia="楷体" w:cs="楷体"/>
          <w:color w:val="000000"/>
          <w:sz w:val="32"/>
          <w:szCs w:val="32"/>
          <w:lang w:eastAsia="zh-CN"/>
        </w:rPr>
      </w:pPr>
      <w:r>
        <w:rPr>
          <w:rFonts w:hint="eastAsia" w:ascii="楷体" w:hAnsi="楷体" w:eastAsia="楷体" w:cs="楷体"/>
          <w:color w:val="000000"/>
          <w:sz w:val="32"/>
          <w:szCs w:val="32"/>
          <w:lang w:eastAsia="zh-CN"/>
        </w:rPr>
        <w:t>（三）建设流程</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1.在中心的指导下，易华录帮助申报单位进行基地建设规划。</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2.原则上以一年为周期，对基地建设情况进行监督、检查和评价，对存在的问题提出改进意见并督促落实。</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3.存在重大问题的基</w:t>
      </w:r>
      <w:bookmarkStart w:id="0" w:name="_GoBack"/>
      <w:bookmarkEnd w:id="0"/>
      <w:r>
        <w:rPr>
          <w:rFonts w:hint="default" w:ascii="Times New Roman" w:hAnsi="Times New Roman" w:eastAsia="仿宋" w:cs="Times New Roman"/>
          <w:color w:val="000000"/>
          <w:sz w:val="32"/>
          <w:szCs w:val="32"/>
          <w:lang w:eastAsia="zh-CN"/>
        </w:rPr>
        <w:t>地将给予预警，预警后下一信息反馈周期内未进行有效改进的基地将退出建设项目并摘牌。</w:t>
      </w:r>
    </w:p>
    <w:p>
      <w:pPr>
        <w:pStyle w:val="14"/>
        <w:spacing w:before="0" w:line="360" w:lineRule="auto"/>
        <w:ind w:left="0" w:firstLine="640" w:firstLineChars="200"/>
        <w:jc w:val="both"/>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lang w:eastAsia="zh-CN"/>
        </w:rPr>
        <w:t>4.申报单位如有出现违法违规等行为，一经查实，予以撤销认定。</w:t>
      </w:r>
    </w:p>
    <w:p>
      <w:pPr>
        <w:pStyle w:val="14"/>
        <w:spacing w:before="0" w:line="360" w:lineRule="auto"/>
        <w:ind w:left="0" w:firstLine="640" w:firstLineChars="200"/>
        <w:jc w:val="both"/>
        <w:rPr>
          <w:rFonts w:ascii="仿宋" w:hAnsi="仿宋" w:eastAsia="仿宋" w:cs="仿宋"/>
          <w:color w:val="000000"/>
          <w:sz w:val="32"/>
          <w:szCs w:val="32"/>
          <w:lang w:eastAsia="zh-CN"/>
        </w:rPr>
      </w:pPr>
      <w:r>
        <w:rPr>
          <w:rFonts w:hint="default" w:ascii="Times New Roman" w:hAnsi="Times New Roman" w:eastAsia="仿宋" w:cs="Times New Roman"/>
          <w:color w:val="000000"/>
          <w:sz w:val="32"/>
          <w:szCs w:val="32"/>
          <w:lang w:eastAsia="zh-CN"/>
        </w:rPr>
        <w:t>5.由中心设定优秀基地评选标准，每年评选优秀基地，予以表彰及公</w:t>
      </w:r>
      <w:r>
        <w:rPr>
          <w:rFonts w:hint="eastAsia" w:ascii="仿宋" w:hAnsi="仿宋" w:eastAsia="仿宋" w:cs="仿宋"/>
          <w:color w:val="000000"/>
          <w:sz w:val="32"/>
          <w:szCs w:val="32"/>
          <w:lang w:eastAsia="zh-CN"/>
        </w:rPr>
        <w:t>示，推广先进经验。</w:t>
      </w:r>
    </w:p>
    <w:p>
      <w:pPr>
        <w:pStyle w:val="7"/>
        <w:spacing w:before="140" w:line="360" w:lineRule="auto"/>
        <w:ind w:left="0" w:right="357" w:firstLine="640" w:firstLineChars="200"/>
        <w:rPr>
          <w:rFonts w:ascii="黑体" w:hAnsi="黑体" w:eastAsia="黑体"/>
          <w:color w:val="333333"/>
          <w:sz w:val="32"/>
          <w:szCs w:val="32"/>
          <w:lang w:eastAsia="zh-CN"/>
        </w:rPr>
      </w:pPr>
      <w:r>
        <w:rPr>
          <w:rFonts w:hint="eastAsia" w:ascii="黑体" w:hAnsi="黑体" w:eastAsia="黑体"/>
          <w:color w:val="333333"/>
          <w:sz w:val="32"/>
          <w:szCs w:val="32"/>
          <w:lang w:eastAsia="zh-CN"/>
        </w:rPr>
        <w:t>六、其他</w:t>
      </w:r>
    </w:p>
    <w:p>
      <w:pPr>
        <w:pStyle w:val="14"/>
        <w:spacing w:line="360" w:lineRule="auto"/>
        <w:ind w:left="0" w:firstLine="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 xml:space="preserve">    （一）本指南由北京易华录信息技术股份有限公司负责解释。</w:t>
      </w:r>
    </w:p>
    <w:p>
      <w:pPr>
        <w:pStyle w:val="14"/>
        <w:spacing w:line="360" w:lineRule="auto"/>
        <w:ind w:left="640" w:firstLine="0"/>
        <w:jc w:val="both"/>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（二）本指南自2023年3月2</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lang w:eastAsia="zh-CN"/>
        </w:rPr>
        <w:t>日起实施。</w:t>
      </w:r>
    </w:p>
    <w:p>
      <w:pPr>
        <w:rPr>
          <w:rFonts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br w:type="page"/>
      </w:r>
    </w:p>
    <w:p>
      <w:pPr>
        <w:spacing w:line="360" w:lineRule="auto"/>
        <w:jc w:val="both"/>
        <w:rPr>
          <w:rFonts w:ascii="黑体" w:hAnsi="黑体" w:eastAsia="黑体"/>
          <w:color w:val="333333"/>
          <w:sz w:val="32"/>
          <w:szCs w:val="32"/>
          <w:lang w:eastAsia="zh-CN"/>
        </w:rPr>
      </w:pPr>
      <w:r>
        <w:rPr>
          <w:rFonts w:ascii="黑体" w:hAnsi="黑体" w:eastAsia="黑体"/>
          <w:color w:val="333333"/>
          <w:sz w:val="32"/>
          <w:szCs w:val="32"/>
          <w:lang w:eastAsia="zh-CN"/>
        </w:rPr>
        <w:t>附：项目联合企业（单位）简介</w:t>
      </w:r>
    </w:p>
    <w:p>
      <w:pPr>
        <w:spacing w:before="120" w:beforeLines="50" w:line="360" w:lineRule="auto"/>
        <w:jc w:val="center"/>
        <w:rPr>
          <w:rFonts w:ascii="黑体" w:hAnsi="黑体" w:eastAsia="黑体"/>
          <w:color w:val="333333"/>
          <w:sz w:val="36"/>
          <w:szCs w:val="36"/>
          <w:lang w:eastAsia="zh-CN"/>
        </w:rPr>
      </w:pPr>
      <w:r>
        <w:rPr>
          <w:rFonts w:hint="eastAsia" w:ascii="黑体" w:hAnsi="黑体" w:eastAsia="黑体"/>
          <w:color w:val="333333"/>
          <w:sz w:val="36"/>
          <w:szCs w:val="36"/>
          <w:lang w:eastAsia="zh-CN"/>
        </w:rPr>
        <w:t>北京易华录信息技术股份有限公司</w:t>
      </w:r>
    </w:p>
    <w:p>
      <w:pPr>
        <w:spacing w:line="360" w:lineRule="auto"/>
        <w:ind w:firstLine="640" w:firstLineChars="20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中国华录·北京易华录信息技术股份有限公司（以下简称“易华录”）是华录集团旗下控股的上市公司。易华录致力于建设城市数字经济基础设施，实现数据“收、存、治、用、易”全生命周期管理，在天津、山东、山西、成都、安徽、青海等多地建有或在建平均占地100亩以上的数据湖园区。作为大数据产业国家队，北京易华录有多年行业内培训经验。作为核心起草单位参编工信部的《大数据从业人员能力要求》（SJ/T 11788-2021），并依托标准面向社会开展认证培训，为人才培养基地提供“理论+模拟+实战”的大数据人才培养体系。易华录设有中央研究院和数据资产研究院，拥有40余名国务院特殊津贴专家、百千万人才专家、院士、教授。20余年数以万记的真实项目经验和技术积淀，为数字技术人才培养基地奠定了扎实的技术研发基础。同时，易华录数据园区内配套建设数据中心、超运算中心、孵化场地、教学场地、虚拟化云桌面大数据实训平台、餐饮、住宿等生产、培训、生活配套设施，为易华录承载及建设数字技术人才培养基地多点布局打下了坚实的基础。</w:t>
      </w:r>
    </w:p>
    <w:p>
      <w:pPr>
        <w:spacing w:line="360" w:lineRule="auto"/>
        <w:ind w:firstLine="640" w:firstLineChars="200"/>
        <w:rPr>
          <w:rFonts w:ascii="仿宋" w:hAnsi="仿宋" w:eastAsia="仿宋" w:cs="仿宋"/>
          <w:color w:val="000000"/>
          <w:sz w:val="32"/>
          <w:szCs w:val="32"/>
          <w:lang w:eastAsia="zh-CN"/>
        </w:rPr>
      </w:pPr>
      <w:r>
        <w:rPr>
          <w:rFonts w:hint="eastAsia" w:ascii="仿宋" w:hAnsi="仿宋" w:eastAsia="仿宋" w:cs="仿宋"/>
          <w:color w:val="000000"/>
          <w:sz w:val="32"/>
          <w:szCs w:val="32"/>
          <w:lang w:eastAsia="zh-CN"/>
        </w:rPr>
        <w:t>基于国家大数据发展战略和信息安全保障要求，易华录公司发挥央企优势，紧紧把握政府社会管理服务创新需求，实施“数据湖+”发展战略，致力于建设城市数字经济基础设施。目前，易华录向全国各地推广数据湖模式，已落地运营33个数据湖，覆盖20个省自治区直辖市，提供海量数据存储、计算、城市大脑等大数据增值应用、园区运营等服务，携手400余家生态合作伙伴，推动公共大数据融合开放，深化大数据、云计算、智慧城市创新应用，支撑区域新旧动能转换，助力城市数字经济高质量发展。目前，易华录已经以部分园区为载体，建设大数据产业人才基地，承接大数据岗位认证培训、体系认证等工作。</w:t>
      </w:r>
    </w:p>
    <w:p>
      <w:pPr>
        <w:spacing w:line="360" w:lineRule="auto"/>
        <w:ind w:firstLine="640" w:firstLineChars="200"/>
        <w:jc w:val="both"/>
        <w:rPr>
          <w:rFonts w:ascii="Times New Roman" w:hAnsi="Times New Roman" w:eastAsia="仿宋_GB2312" w:cs="Times New Roman"/>
          <w:color w:val="000000"/>
          <w:sz w:val="32"/>
          <w:szCs w:val="32"/>
          <w:lang w:eastAsia="zh-CN"/>
        </w:rPr>
      </w:pPr>
    </w:p>
    <w:sectPr>
      <w:footerReference r:id="rId3" w:type="default"/>
      <w:pgSz w:w="11910" w:h="16840"/>
      <w:pgMar w:top="1440" w:right="1800" w:bottom="1440" w:left="1800" w:header="0" w:footer="1023"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5C8A9E-115B-4BBC-8559-C102FB7BA6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embedRegular r:id="rId2" w:fontKey="{A921468E-2247-4D87-AA8C-4D87CE52A9DF}"/>
  </w:font>
  <w:font w:name="MS Mincho">
    <w:panose1 w:val="02020609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embedRegular r:id="rId3" w:fontKey="{050C4D7E-BD9D-41F3-B1FC-E241D7C2010D}"/>
  </w:font>
  <w:font w:name="方正小标宋简体">
    <w:panose1 w:val="03000509000000000000"/>
    <w:charset w:val="86"/>
    <w:family w:val="auto"/>
    <w:pitch w:val="default"/>
    <w:sig w:usb0="00000001" w:usb1="080E0000" w:usb2="00000000" w:usb3="00000000" w:csb0="00040000" w:csb1="00000000"/>
    <w:embedRegular r:id="rId4" w:fontKey="{1C8EFF83-2EF1-4856-9CEB-90D542046C2D}"/>
  </w:font>
  <w:font w:name="方正小标宋_GBK">
    <w:panose1 w:val="02000000000000000000"/>
    <w:charset w:val="86"/>
    <w:family w:val="auto"/>
    <w:pitch w:val="default"/>
    <w:sig w:usb0="A00002BF" w:usb1="38CF7CFA" w:usb2="00082016" w:usb3="00000000" w:csb0="00040001" w:csb1="00000000"/>
    <w:embedRegular r:id="rId5" w:fontKey="{C847D53E-4EC7-496C-AC5A-5C5001240212}"/>
  </w:font>
  <w:font w:name="楷体">
    <w:panose1 w:val="02010609060101010101"/>
    <w:charset w:val="86"/>
    <w:family w:val="auto"/>
    <w:pitch w:val="default"/>
    <w:sig w:usb0="800002BF" w:usb1="38CF7CFA" w:usb2="00000016" w:usb3="00000000" w:csb0="00040001" w:csb1="00000000"/>
    <w:embedRegular r:id="rId6" w:fontKey="{0A0B51B3-DB76-4116-850C-86D9F401D4E1}"/>
  </w:font>
  <w:font w:name="新宋体">
    <w:panose1 w:val="02010609030101010101"/>
    <w:charset w:val="86"/>
    <w:family w:val="auto"/>
    <w:pitch w:val="default"/>
    <w:sig w:usb0="00000003" w:usb1="288F0000" w:usb2="00000006" w:usb3="00000000" w:csb0="00040001" w:csb1="00000000"/>
    <w:embedRegular r:id="rId7" w:fontKey="{F4DC9707-DA1E-4667-8EB0-AE00D46BC83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eastAsia="zh-CN"/>
      </w:rPr>
      <w:t>10</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964FB"/>
    <w:multiLevelType w:val="singleLevel"/>
    <w:tmpl w:val="900964F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NzgxNjY0ZmNiZTRlNjEzNjQ1YzhiNWU0ODUwYWYifQ=="/>
  </w:docVars>
  <w:rsids>
    <w:rsidRoot w:val="00603D3D"/>
    <w:rsid w:val="00076C9D"/>
    <w:rsid w:val="00094414"/>
    <w:rsid w:val="00095D70"/>
    <w:rsid w:val="000B5305"/>
    <w:rsid w:val="000C2C7A"/>
    <w:rsid w:val="000C6DF3"/>
    <w:rsid w:val="000F567E"/>
    <w:rsid w:val="00125683"/>
    <w:rsid w:val="001338AF"/>
    <w:rsid w:val="00155199"/>
    <w:rsid w:val="00174F62"/>
    <w:rsid w:val="00184E81"/>
    <w:rsid w:val="001E19B7"/>
    <w:rsid w:val="001E3000"/>
    <w:rsid w:val="001F410B"/>
    <w:rsid w:val="00205E5A"/>
    <w:rsid w:val="002161E9"/>
    <w:rsid w:val="002267DE"/>
    <w:rsid w:val="00257D5C"/>
    <w:rsid w:val="002707AF"/>
    <w:rsid w:val="00320E2D"/>
    <w:rsid w:val="00333A98"/>
    <w:rsid w:val="00350E0A"/>
    <w:rsid w:val="003518C5"/>
    <w:rsid w:val="00353D43"/>
    <w:rsid w:val="00373EE0"/>
    <w:rsid w:val="00387305"/>
    <w:rsid w:val="003C7DA3"/>
    <w:rsid w:val="003F225B"/>
    <w:rsid w:val="003F79DC"/>
    <w:rsid w:val="0041027A"/>
    <w:rsid w:val="004104E6"/>
    <w:rsid w:val="00467445"/>
    <w:rsid w:val="004B3A2A"/>
    <w:rsid w:val="004C3525"/>
    <w:rsid w:val="004E0A3F"/>
    <w:rsid w:val="004F7700"/>
    <w:rsid w:val="00524EE1"/>
    <w:rsid w:val="00571861"/>
    <w:rsid w:val="00585CE8"/>
    <w:rsid w:val="0059024A"/>
    <w:rsid w:val="00593A24"/>
    <w:rsid w:val="005F31CC"/>
    <w:rsid w:val="00601E89"/>
    <w:rsid w:val="00603D3D"/>
    <w:rsid w:val="006066A9"/>
    <w:rsid w:val="00634001"/>
    <w:rsid w:val="00672AAB"/>
    <w:rsid w:val="00692BA8"/>
    <w:rsid w:val="006C0AA4"/>
    <w:rsid w:val="006C6F50"/>
    <w:rsid w:val="006D08BB"/>
    <w:rsid w:val="006F3332"/>
    <w:rsid w:val="006F5D19"/>
    <w:rsid w:val="007615BE"/>
    <w:rsid w:val="00767E6E"/>
    <w:rsid w:val="007C6C62"/>
    <w:rsid w:val="007F2379"/>
    <w:rsid w:val="008063BF"/>
    <w:rsid w:val="00812ABC"/>
    <w:rsid w:val="00841560"/>
    <w:rsid w:val="008500AA"/>
    <w:rsid w:val="00863131"/>
    <w:rsid w:val="00874972"/>
    <w:rsid w:val="008958BA"/>
    <w:rsid w:val="008B15C7"/>
    <w:rsid w:val="008D29E6"/>
    <w:rsid w:val="008F05A4"/>
    <w:rsid w:val="008F1B7C"/>
    <w:rsid w:val="008F5178"/>
    <w:rsid w:val="008F785B"/>
    <w:rsid w:val="00922767"/>
    <w:rsid w:val="00984DAD"/>
    <w:rsid w:val="00990037"/>
    <w:rsid w:val="00994C07"/>
    <w:rsid w:val="00995C44"/>
    <w:rsid w:val="009967C1"/>
    <w:rsid w:val="009A4342"/>
    <w:rsid w:val="009A63DA"/>
    <w:rsid w:val="009F7AC3"/>
    <w:rsid w:val="00A0260B"/>
    <w:rsid w:val="00A45D10"/>
    <w:rsid w:val="00A60011"/>
    <w:rsid w:val="00A630F7"/>
    <w:rsid w:val="00A82B67"/>
    <w:rsid w:val="00A876CA"/>
    <w:rsid w:val="00AA17C1"/>
    <w:rsid w:val="00AB08BF"/>
    <w:rsid w:val="00AB691A"/>
    <w:rsid w:val="00AC1D42"/>
    <w:rsid w:val="00AD3DAD"/>
    <w:rsid w:val="00AD745D"/>
    <w:rsid w:val="00B22941"/>
    <w:rsid w:val="00B80FB8"/>
    <w:rsid w:val="00B909A3"/>
    <w:rsid w:val="00C10A4D"/>
    <w:rsid w:val="00C56752"/>
    <w:rsid w:val="00C638E3"/>
    <w:rsid w:val="00C66D0E"/>
    <w:rsid w:val="00C72405"/>
    <w:rsid w:val="00CC1B18"/>
    <w:rsid w:val="00CF47E5"/>
    <w:rsid w:val="00D06539"/>
    <w:rsid w:val="00D244A1"/>
    <w:rsid w:val="00D34310"/>
    <w:rsid w:val="00D44430"/>
    <w:rsid w:val="00DC57D5"/>
    <w:rsid w:val="00DD45AF"/>
    <w:rsid w:val="00DE4A69"/>
    <w:rsid w:val="00DE5ED1"/>
    <w:rsid w:val="00DF499F"/>
    <w:rsid w:val="00E1759F"/>
    <w:rsid w:val="00E34C93"/>
    <w:rsid w:val="00E360A4"/>
    <w:rsid w:val="00E51C3F"/>
    <w:rsid w:val="00EA2A8F"/>
    <w:rsid w:val="00EF3E15"/>
    <w:rsid w:val="00F04D46"/>
    <w:rsid w:val="00F24125"/>
    <w:rsid w:val="00F2572E"/>
    <w:rsid w:val="00F82A63"/>
    <w:rsid w:val="00FB3C27"/>
    <w:rsid w:val="00FC4147"/>
    <w:rsid w:val="031861ED"/>
    <w:rsid w:val="046B19E4"/>
    <w:rsid w:val="0FC51FBB"/>
    <w:rsid w:val="10741442"/>
    <w:rsid w:val="1698541C"/>
    <w:rsid w:val="1C6D70A5"/>
    <w:rsid w:val="2100025F"/>
    <w:rsid w:val="246E64B3"/>
    <w:rsid w:val="29A21154"/>
    <w:rsid w:val="2C0E487F"/>
    <w:rsid w:val="3351531B"/>
    <w:rsid w:val="4660634E"/>
    <w:rsid w:val="53AC5534"/>
    <w:rsid w:val="53BD1625"/>
    <w:rsid w:val="5B1C04B7"/>
    <w:rsid w:val="694F621E"/>
    <w:rsid w:val="6C607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4">
    <w:name w:val="heading 1"/>
    <w:basedOn w:val="1"/>
    <w:next w:val="1"/>
    <w:link w:val="19"/>
    <w:qFormat/>
    <w:uiPriority w:val="9"/>
    <w:pPr>
      <w:spacing w:line="482" w:lineRule="exact"/>
      <w:ind w:left="756"/>
      <w:outlineLvl w:val="0"/>
    </w:pPr>
    <w:rPr>
      <w:rFonts w:ascii="Microsoft JhengHei" w:hAnsi="Microsoft JhengHei" w:eastAsia="Microsoft JhengHei" w:cs="Microsoft JhengHei"/>
      <w:b/>
      <w:bCs/>
      <w:sz w:val="32"/>
      <w:szCs w:val="32"/>
    </w:rPr>
  </w:style>
  <w:style w:type="paragraph" w:styleId="5">
    <w:name w:val="heading 2"/>
    <w:basedOn w:val="1"/>
    <w:next w:val="1"/>
    <w:link w:val="20"/>
    <w:unhideWhenUsed/>
    <w:qFormat/>
    <w:uiPriority w:val="9"/>
    <w:pPr>
      <w:spacing w:before="26"/>
      <w:ind w:left="903" w:hanging="275"/>
      <w:outlineLvl w:val="1"/>
    </w:pPr>
    <w:rPr>
      <w:rFonts w:ascii="Microsoft JhengHei" w:hAnsi="Microsoft JhengHei" w:eastAsia="Microsoft JhengHei" w:cs="Microsoft JhengHei"/>
      <w:b/>
      <w:bCs/>
      <w:sz w:val="28"/>
      <w:szCs w:val="28"/>
    </w:rPr>
  </w:style>
  <w:style w:type="character" w:default="1" w:styleId="12">
    <w:name w:val="Default Paragraph Font"/>
    <w:unhideWhenUsed/>
    <w:qFormat/>
    <w:uiPriority w:val="1"/>
  </w:style>
  <w:style w:type="table" w:default="1" w:styleId="11">
    <w:name w:val="Normal Table"/>
    <w:unhideWhenUsed/>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rPr>
  </w:style>
  <w:style w:type="paragraph" w:styleId="3">
    <w:name w:val="Body Text Indent"/>
    <w:basedOn w:val="1"/>
    <w:next w:val="1"/>
    <w:qFormat/>
    <w:uiPriority w:val="0"/>
    <w:pPr>
      <w:spacing w:line="600" w:lineRule="exact"/>
      <w:ind w:firstLine="560"/>
    </w:pPr>
  </w:style>
  <w:style w:type="paragraph" w:styleId="6">
    <w:name w:val="annotation text"/>
    <w:basedOn w:val="1"/>
    <w:link w:val="24"/>
    <w:unhideWhenUsed/>
    <w:qFormat/>
    <w:uiPriority w:val="0"/>
  </w:style>
  <w:style w:type="paragraph" w:styleId="7">
    <w:name w:val="Body Text"/>
    <w:basedOn w:val="1"/>
    <w:link w:val="21"/>
    <w:qFormat/>
    <w:uiPriority w:val="1"/>
    <w:pPr>
      <w:ind w:left="118" w:right="375" w:firstLine="559"/>
      <w:jc w:val="both"/>
    </w:pPr>
    <w:rPr>
      <w:sz w:val="28"/>
      <w:szCs w:val="28"/>
    </w:rPr>
  </w:style>
  <w:style w:type="paragraph" w:styleId="8">
    <w:name w:val="footer"/>
    <w:basedOn w:val="1"/>
    <w:link w:val="23"/>
    <w:unhideWhenUsed/>
    <w:qFormat/>
    <w:uiPriority w:val="99"/>
    <w:pPr>
      <w:tabs>
        <w:tab w:val="center" w:pos="4153"/>
        <w:tab w:val="right" w:pos="8306"/>
      </w:tabs>
      <w:snapToGrid w:val="0"/>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6"/>
    <w:next w:val="6"/>
    <w:link w:val="25"/>
    <w:unhideWhenUsed/>
    <w:qFormat/>
    <w:uiPriority w:val="0"/>
    <w:rPr>
      <w:b/>
      <w:bCs/>
    </w:rPr>
  </w:style>
  <w:style w:type="character" w:styleId="13">
    <w:name w:val="annotation reference"/>
    <w:basedOn w:val="12"/>
    <w:unhideWhenUsed/>
    <w:qFormat/>
    <w:uiPriority w:val="0"/>
    <w:rPr>
      <w:sz w:val="21"/>
      <w:szCs w:val="21"/>
    </w:rPr>
  </w:style>
  <w:style w:type="paragraph" w:customStyle="1" w:styleId="14">
    <w:name w:val="列出段落1"/>
    <w:basedOn w:val="1"/>
    <w:qFormat/>
    <w:uiPriority w:val="1"/>
    <w:pPr>
      <w:spacing w:before="26"/>
      <w:ind w:left="903" w:hanging="275"/>
    </w:pPr>
    <w:rPr>
      <w:rFonts w:ascii="Microsoft JhengHei" w:hAnsi="Microsoft JhengHei" w:eastAsia="Microsoft JhengHei" w:cs="Microsoft JhengHei"/>
    </w:rPr>
  </w:style>
  <w:style w:type="paragraph" w:customStyle="1" w:styleId="15">
    <w:name w:val="正文（缩进）"/>
    <w:basedOn w:val="1"/>
    <w:qFormat/>
    <w:uiPriority w:val="0"/>
    <w:pPr>
      <w:spacing w:before="156" w:after="156"/>
      <w:ind w:firstLine="480"/>
    </w:pPr>
  </w:style>
  <w:style w:type="paragraph" w:customStyle="1" w:styleId="16">
    <w:name w:val="样式1"/>
    <w:basedOn w:val="1"/>
    <w:qFormat/>
    <w:uiPriority w:val="0"/>
    <w:pPr>
      <w:ind w:firstLine="480"/>
    </w:pPr>
    <w:rPr>
      <w:sz w:val="24"/>
    </w:rPr>
  </w:style>
  <w:style w:type="paragraph" w:customStyle="1" w:styleId="17">
    <w:name w:val="修订1"/>
    <w:hidden/>
    <w:semiHidden/>
    <w:qFormat/>
    <w:uiPriority w:val="99"/>
    <w:rPr>
      <w:rFonts w:ascii="宋体" w:hAnsi="宋体" w:eastAsia="宋体" w:cs="宋体"/>
      <w:sz w:val="22"/>
      <w:szCs w:val="22"/>
      <w:lang w:val="en-US" w:eastAsia="en-US" w:bidi="ar-SA"/>
    </w:rPr>
  </w:style>
  <w:style w:type="paragraph" w:customStyle="1" w:styleId="18">
    <w:name w:val="修订2"/>
    <w:hidden/>
    <w:semiHidden/>
    <w:uiPriority w:val="99"/>
    <w:rPr>
      <w:rFonts w:ascii="宋体" w:hAnsi="宋体" w:eastAsia="宋体" w:cs="宋体"/>
      <w:sz w:val="22"/>
      <w:szCs w:val="22"/>
      <w:lang w:val="en-US" w:eastAsia="en-US" w:bidi="ar-SA"/>
    </w:rPr>
  </w:style>
  <w:style w:type="character" w:customStyle="1" w:styleId="19">
    <w:name w:val="标题 1 Char"/>
    <w:basedOn w:val="12"/>
    <w:link w:val="4"/>
    <w:qFormat/>
    <w:uiPriority w:val="9"/>
    <w:rPr>
      <w:rFonts w:ascii="Microsoft JhengHei" w:hAnsi="Microsoft JhengHei" w:eastAsia="Microsoft JhengHei" w:cs="Microsoft JhengHei"/>
      <w:b/>
      <w:bCs/>
      <w:kern w:val="0"/>
      <w:sz w:val="32"/>
      <w:szCs w:val="32"/>
      <w:lang w:eastAsia="en-US"/>
    </w:rPr>
  </w:style>
  <w:style w:type="character" w:customStyle="1" w:styleId="20">
    <w:name w:val="标题 2 Char"/>
    <w:basedOn w:val="12"/>
    <w:link w:val="5"/>
    <w:qFormat/>
    <w:uiPriority w:val="9"/>
    <w:rPr>
      <w:rFonts w:ascii="Microsoft JhengHei" w:hAnsi="Microsoft JhengHei" w:eastAsia="Microsoft JhengHei" w:cs="Microsoft JhengHei"/>
      <w:b/>
      <w:bCs/>
      <w:kern w:val="0"/>
      <w:sz w:val="28"/>
      <w:szCs w:val="28"/>
      <w:lang w:eastAsia="en-US"/>
    </w:rPr>
  </w:style>
  <w:style w:type="character" w:customStyle="1" w:styleId="21">
    <w:name w:val="正文文本 Char"/>
    <w:basedOn w:val="12"/>
    <w:link w:val="7"/>
    <w:qFormat/>
    <w:uiPriority w:val="1"/>
    <w:rPr>
      <w:rFonts w:ascii="宋体" w:hAnsi="宋体" w:eastAsia="宋体" w:cs="宋体"/>
      <w:kern w:val="0"/>
      <w:sz w:val="28"/>
      <w:szCs w:val="28"/>
      <w:lang w:eastAsia="en-US"/>
    </w:rPr>
  </w:style>
  <w:style w:type="character" w:customStyle="1" w:styleId="22">
    <w:name w:val="页眉 Char"/>
    <w:basedOn w:val="12"/>
    <w:link w:val="9"/>
    <w:qFormat/>
    <w:uiPriority w:val="99"/>
    <w:rPr>
      <w:rFonts w:ascii="宋体" w:hAnsi="宋体" w:eastAsia="宋体" w:cs="宋体"/>
      <w:kern w:val="0"/>
      <w:sz w:val="18"/>
      <w:szCs w:val="18"/>
      <w:lang w:eastAsia="en-US"/>
    </w:rPr>
  </w:style>
  <w:style w:type="character" w:customStyle="1" w:styleId="23">
    <w:name w:val="页脚 Char"/>
    <w:basedOn w:val="12"/>
    <w:link w:val="8"/>
    <w:qFormat/>
    <w:uiPriority w:val="99"/>
    <w:rPr>
      <w:rFonts w:ascii="宋体" w:hAnsi="宋体" w:eastAsia="宋体" w:cs="宋体"/>
      <w:kern w:val="0"/>
      <w:sz w:val="18"/>
      <w:szCs w:val="18"/>
      <w:lang w:eastAsia="en-US"/>
    </w:rPr>
  </w:style>
  <w:style w:type="character" w:customStyle="1" w:styleId="24">
    <w:name w:val="批注文字 Char"/>
    <w:basedOn w:val="12"/>
    <w:link w:val="6"/>
    <w:semiHidden/>
    <w:qFormat/>
    <w:uiPriority w:val="0"/>
    <w:rPr>
      <w:rFonts w:ascii="宋体" w:hAnsi="宋体" w:cs="宋体"/>
      <w:sz w:val="22"/>
      <w:szCs w:val="22"/>
      <w:lang w:eastAsia="en-US"/>
    </w:rPr>
  </w:style>
  <w:style w:type="character" w:customStyle="1" w:styleId="25">
    <w:name w:val="批注主题 Char"/>
    <w:basedOn w:val="24"/>
    <w:link w:val="10"/>
    <w:semiHidden/>
    <w:qFormat/>
    <w:uiPriority w:val="0"/>
    <w:rPr>
      <w:rFonts w:ascii="宋体" w:hAnsi="宋体" w:cs="宋体"/>
      <w:b/>
      <w:bCs/>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4034</Words>
  <Characters>4085</Characters>
  <Lines>29</Lines>
  <Paragraphs>8</Paragraphs>
  <TotalTime>17</TotalTime>
  <ScaleCrop>false</ScaleCrop>
  <LinksUpToDate>false</LinksUpToDate>
  <CharactersWithSpaces>4095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2023-03-17T02:48:00Z</dcterms:created>
  <dc:creator>wonder wang</dc:creator>
  <cp:lastModifiedBy>诞诞</cp:lastModifiedBy>
  <dcterms:modified xsi:type="dcterms:W3CDTF">2023-03-28T00:58:36Z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F412A1B9D46243989A60D421407791A6</vt:lpwstr>
  </property>
</Properties>
</file>