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1330B">
      <w:pPr>
        <w:spacing w:line="620" w:lineRule="exact"/>
        <w:jc w:val="center"/>
        <w:rPr>
          <w:rStyle w:val="8"/>
          <w:rFonts w:ascii="方正小标宋简体" w:hAnsi="黑体" w:eastAsia="方正小标宋简体"/>
          <w:b w:val="0"/>
          <w:sz w:val="44"/>
          <w:szCs w:val="44"/>
          <w:shd w:val="clear" w:color="auto" w:fill="FFFFFF"/>
        </w:rPr>
      </w:pPr>
      <w:r>
        <w:rPr>
          <w:rStyle w:val="8"/>
          <w:rFonts w:hint="eastAsia" w:ascii="方正小标宋简体" w:hAnsi="黑体" w:eastAsia="方正小标宋简体"/>
          <w:b w:val="0"/>
          <w:sz w:val="44"/>
          <w:szCs w:val="44"/>
          <w:shd w:val="clear" w:color="auto" w:fill="FFFFFF"/>
        </w:rPr>
        <w:t>202</w:t>
      </w:r>
      <w:r>
        <w:rPr>
          <w:rStyle w:val="8"/>
          <w:rFonts w:hint="eastAsia" w:ascii="方正小标宋简体" w:hAnsi="黑体" w:eastAsia="方正小标宋简体"/>
          <w:b w:val="0"/>
          <w:sz w:val="44"/>
          <w:szCs w:val="44"/>
          <w:shd w:val="clear" w:color="auto" w:fill="FFFFFF"/>
          <w:lang w:val="en-US" w:eastAsia="zh-CN"/>
        </w:rPr>
        <w:t>5</w:t>
      </w:r>
      <w:r>
        <w:rPr>
          <w:rStyle w:val="8"/>
          <w:rFonts w:hint="eastAsia" w:ascii="方正小标宋简体" w:hAnsi="黑体" w:eastAsia="方正小标宋简体"/>
          <w:b w:val="0"/>
          <w:sz w:val="44"/>
          <w:szCs w:val="44"/>
          <w:shd w:val="clear" w:color="auto" w:fill="FFFFFF"/>
        </w:rPr>
        <w:t>年度国家社科基金教育学重大项目</w:t>
      </w:r>
    </w:p>
    <w:p w14:paraId="2E72C7D7">
      <w:pPr>
        <w:spacing w:line="620" w:lineRule="exact"/>
        <w:jc w:val="center"/>
        <w:rPr>
          <w:rFonts w:ascii="方正小标宋简体" w:eastAsia="方正小标宋简体"/>
          <w:b/>
          <w:sz w:val="44"/>
          <w:szCs w:val="44"/>
        </w:rPr>
      </w:pPr>
      <w:r>
        <w:rPr>
          <w:rStyle w:val="8"/>
          <w:rFonts w:hint="eastAsia" w:ascii="方正小标宋简体" w:hAnsi="黑体" w:eastAsia="方正小标宋简体"/>
          <w:b w:val="0"/>
          <w:sz w:val="44"/>
          <w:szCs w:val="44"/>
          <w:shd w:val="clear" w:color="auto" w:fill="FFFFFF"/>
        </w:rPr>
        <w:t>招标公告</w:t>
      </w:r>
    </w:p>
    <w:p w14:paraId="2F0A2DA2">
      <w:pPr>
        <w:jc w:val="center"/>
      </w:pPr>
    </w:p>
    <w:p w14:paraId="77AD9283">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经全国教育科学规划领导小组批准，202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年国家社会科学基金教育学重大项目面向全国公开招标，现将有关事项公告如下：</w:t>
      </w:r>
    </w:p>
    <w:p w14:paraId="7DF3DD9A">
      <w:pPr>
        <w:spacing w:line="620" w:lineRule="exact"/>
        <w:rPr>
          <w:rFonts w:hint="eastAsia" w:ascii="仿宋" w:hAnsi="仿宋" w:eastAsia="仿宋" w:cs="仿宋"/>
          <w:b/>
          <w:bCs/>
          <w:sz w:val="32"/>
          <w:szCs w:val="32"/>
        </w:rPr>
      </w:pPr>
      <w:r>
        <w:rPr>
          <w:rFonts w:hint="eastAsia" w:ascii="宋体" w:hAnsi="宋体" w:eastAsia="宋体" w:cs="宋体"/>
          <w:b/>
          <w:bCs/>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一、招标单位</w:t>
      </w:r>
    </w:p>
    <w:p w14:paraId="71EF3A7E">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全国教育科学规划领导小组办公室（以下简称“全规办”）</w:t>
      </w:r>
    </w:p>
    <w:p w14:paraId="0A147AC2">
      <w:pPr>
        <w:spacing w:line="620" w:lineRule="exact"/>
        <w:rPr>
          <w:rFonts w:hint="eastAsia" w:ascii="仿宋" w:hAnsi="仿宋" w:eastAsia="仿宋" w:cs="仿宋"/>
          <w:b/>
          <w:bCs/>
          <w:sz w:val="32"/>
          <w:szCs w:val="32"/>
        </w:rPr>
      </w:pPr>
      <w:r>
        <w:rPr>
          <w:rFonts w:hint="eastAsia" w:ascii="仿宋" w:hAnsi="仿宋" w:eastAsia="仿宋" w:cs="仿宋"/>
          <w:b/>
          <w:bCs/>
          <w:sz w:val="32"/>
          <w:szCs w:val="32"/>
        </w:rPr>
        <w:t xml:space="preserve">    二、招标对象</w:t>
      </w:r>
    </w:p>
    <w:p w14:paraId="2C141B99">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主要包括高等院校，部委直属单位，省级以上研究机构、党校（行政学院）等的研究人员。投标以责任单位名义组织，多单位联合投标须确定一个责任单位。鼓励跨学科、跨地区、跨单位联合投标，鼓励理论工作部门与实际工作部门合作开展研究。</w:t>
      </w:r>
    </w:p>
    <w:p w14:paraId="4E30ADD6">
      <w:pPr>
        <w:spacing w:line="620" w:lineRule="exact"/>
        <w:rPr>
          <w:rFonts w:hint="eastAsia" w:ascii="仿宋" w:hAnsi="仿宋" w:eastAsia="仿宋" w:cs="仿宋"/>
          <w:b/>
          <w:bCs/>
          <w:sz w:val="32"/>
          <w:szCs w:val="32"/>
        </w:rPr>
      </w:pPr>
      <w:r>
        <w:rPr>
          <w:rFonts w:hint="eastAsia" w:ascii="仿宋" w:hAnsi="仿宋" w:eastAsia="仿宋" w:cs="仿宋"/>
          <w:b/>
          <w:bCs/>
          <w:sz w:val="32"/>
          <w:szCs w:val="32"/>
        </w:rPr>
        <w:t xml:space="preserve">    三、招标工作总要求</w:t>
      </w:r>
    </w:p>
    <w:p w14:paraId="5F11D89E">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坚持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教育学科。</w:t>
      </w:r>
    </w:p>
    <w:p w14:paraId="33864DD8">
      <w:pPr>
        <w:spacing w:line="620" w:lineRule="exact"/>
        <w:rPr>
          <w:rFonts w:hint="eastAsia" w:ascii="仿宋" w:hAnsi="仿宋" w:eastAsia="仿宋" w:cs="仿宋"/>
          <w:b/>
          <w:bCs/>
          <w:sz w:val="32"/>
          <w:szCs w:val="32"/>
        </w:rPr>
      </w:pPr>
      <w:r>
        <w:rPr>
          <w:rFonts w:hint="eastAsia" w:ascii="仿宋" w:hAnsi="仿宋" w:eastAsia="仿宋" w:cs="仿宋"/>
          <w:b/>
          <w:bCs/>
          <w:sz w:val="32"/>
          <w:szCs w:val="32"/>
        </w:rPr>
        <w:t xml:space="preserve">    四、招标数量和资助强度</w:t>
      </w:r>
    </w:p>
    <w:p w14:paraId="7D0A30B1">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2025年度共发布19个重大项目招标选题。每个选题原则上确立1个中标单位。资助强度每项60万元。如获中标，将在立项两年后进行中期检查评估，对研究进展顺利、阶段性成果丰硕且后续研究中存在较大经费缺口的项目择优予以滚动资助。</w:t>
      </w:r>
    </w:p>
    <w:p w14:paraId="3A1B8715">
      <w:pPr>
        <w:spacing w:line="620" w:lineRule="exact"/>
        <w:rPr>
          <w:rFonts w:hint="eastAsia" w:ascii="仿宋" w:hAnsi="仿宋" w:eastAsia="仿宋" w:cs="仿宋"/>
          <w:b/>
          <w:bCs/>
          <w:sz w:val="32"/>
          <w:szCs w:val="32"/>
        </w:rPr>
      </w:pPr>
      <w:r>
        <w:rPr>
          <w:rFonts w:hint="eastAsia" w:ascii="仿宋" w:hAnsi="仿宋" w:eastAsia="仿宋" w:cs="仿宋"/>
          <w:b/>
          <w:bCs/>
          <w:sz w:val="32"/>
          <w:szCs w:val="32"/>
        </w:rPr>
        <w:t xml:space="preserve">    五、投标资格要求</w:t>
      </w:r>
    </w:p>
    <w:p w14:paraId="33CDF2B5">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（一）责任单位须具备下列条件：</w:t>
      </w:r>
    </w:p>
    <w:p w14:paraId="137D78F3">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1.在相关研究领域具有较强的科研力量和深厚的学术积累；</w:t>
      </w:r>
    </w:p>
    <w:p w14:paraId="542B4803">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2.设有专门负责科研管理工作的职能部门；</w:t>
      </w:r>
    </w:p>
    <w:p w14:paraId="6B294BA9">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3.能够为开展重大项目研究工作提供良好条件。</w:t>
      </w:r>
    </w:p>
    <w:p w14:paraId="0F95C637">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（二）投标人须具备下列条件：</w:t>
      </w:r>
    </w:p>
    <w:p w14:paraId="4ED31EE5">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14:paraId="701F6248">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2.在研国家社会科学基金、全国教育科学规划、马克思主义理论研究和建设工程重大项目及其他国家级重大科研项目，教育部哲学社会科学研究重大课题攻关项目的负责人，不能作为首席专家参加本次投标。申报2025年国家社会科学基金年度项目和重大项目、全国教育科学规划年度项目的申请人，不能投标本次国家社会科学基金教育学重大项目。</w:t>
      </w:r>
    </w:p>
    <w:p w14:paraId="3D7AC394">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3.首席专家只能投标一个项目，且不能作为子课题负责人或项目组成员参与本次投标的其他项目。子课题负责人须具有副高级（含）以上职称，在本批次招标中只能参与一个投标项目，项目组成员最多参与两个投标项目。在研国家社科基金重大项目、重大研究专项项目及教育部哲学社会科学研究重大课题攻关项目的负责人，不得作为子课题负责人参与本次投标。</w:t>
      </w:r>
    </w:p>
    <w:p w14:paraId="1D09F287">
      <w:pPr>
        <w:spacing w:line="620" w:lineRule="exact"/>
        <w:rPr>
          <w:rFonts w:hint="eastAsia" w:ascii="仿宋" w:hAnsi="仿宋" w:eastAsia="仿宋" w:cs="仿宋"/>
          <w:b/>
          <w:bCs/>
          <w:sz w:val="32"/>
          <w:szCs w:val="32"/>
        </w:rPr>
      </w:pPr>
      <w:r>
        <w:rPr>
          <w:rFonts w:hint="eastAsia" w:ascii="仿宋" w:hAnsi="仿宋" w:eastAsia="仿宋" w:cs="仿宋"/>
          <w:b/>
          <w:bCs/>
          <w:sz w:val="32"/>
          <w:szCs w:val="32"/>
        </w:rPr>
        <w:t xml:space="preserve">    六、投标项目要求</w:t>
      </w:r>
    </w:p>
    <w:p w14:paraId="2DCB6602">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一）投标人须按照《招标公告》发布的选题指南（附后）投标。选题表述原则上不得修改，如确有需要可进行适当微调，但不得大幅压缩或改变研究内容，自拟选题不予受理。本次投标须按照新修订的《2025年国家社会科学基金教育学重大项目投标书》（2025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万字。</w:t>
      </w:r>
    </w:p>
    <w:p w14:paraId="127407FA">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（二）投标项目要突出研究重点，体现有限目标，项目设计不宜过于宽泛，避免大而全，子课题数量5个左右；每个子课题只能确定一名负责人。</w:t>
      </w:r>
    </w:p>
    <w:p w14:paraId="096AB2DD">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（三）投标人须提交3篇与申报选题研究领域相关的代表性成果（论文或专著），作为评审立项的重要参考。</w:t>
      </w:r>
    </w:p>
    <w:p w14:paraId="5CE1FEEE">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四）投标人要熟知国内外相关领域研究前沿动态，具备扎实的研究基础和丰富的相关前期研究成果。除必要的学术史梳理或综述外，应着重阐明本项目设计相对于已有研究的独到学术价值、应用价值和社会意义。</w:t>
      </w:r>
    </w:p>
    <w:p w14:paraId="69B6AAE1">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p>
    <w:p w14:paraId="20929D85">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（六）项目完成时间根据研究工作的实际需要确定，一般应在2-5年完成，应用性研究周期为2-3年，基础性研究最长不得超过5年。</w:t>
      </w:r>
    </w:p>
    <w:p w14:paraId="6ADD8E31">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（七）预期研究成果的规模和数量应科学合理，确保质量和学术水准，多出精品力作。</w:t>
      </w:r>
    </w:p>
    <w:p w14:paraId="57D149FC">
      <w:pPr>
        <w:spacing w:line="620" w:lineRule="exact"/>
        <w:rPr>
          <w:rFonts w:hint="eastAsia" w:ascii="仿宋" w:hAnsi="仿宋" w:eastAsia="仿宋" w:cs="仿宋"/>
          <w:b/>
          <w:bCs/>
          <w:sz w:val="32"/>
          <w:szCs w:val="32"/>
        </w:rPr>
      </w:pPr>
      <w:r>
        <w:rPr>
          <w:rFonts w:hint="eastAsia" w:ascii="仿宋" w:hAnsi="仿宋" w:eastAsia="仿宋" w:cs="仿宋"/>
          <w:b/>
          <w:bCs/>
          <w:sz w:val="32"/>
          <w:szCs w:val="32"/>
        </w:rPr>
        <w:t xml:space="preserve">    七、投标纪律要求</w:t>
      </w:r>
    </w:p>
    <w:p w14:paraId="0946B524">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一）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p>
    <w:p w14:paraId="31E3CDF0">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1D540A8E">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1F2604EE">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（四）投标人可提出2名以内建议回避评审专家，我办将根据评审工作实际情况予以考虑。</w:t>
      </w:r>
    </w:p>
    <w:p w14:paraId="40851E73">
      <w:pPr>
        <w:spacing w:line="620" w:lineRule="exact"/>
        <w:rPr>
          <w:rFonts w:hint="eastAsia" w:ascii="仿宋" w:hAnsi="仿宋" w:eastAsia="仿宋" w:cs="仿宋"/>
          <w:b/>
          <w:bCs/>
          <w:sz w:val="32"/>
          <w:szCs w:val="32"/>
        </w:rPr>
      </w:pPr>
      <w:r>
        <w:rPr>
          <w:rFonts w:hint="eastAsia" w:ascii="仿宋" w:hAnsi="仿宋" w:eastAsia="仿宋" w:cs="仿宋"/>
          <w:b/>
          <w:bCs/>
          <w:sz w:val="32"/>
          <w:szCs w:val="32"/>
        </w:rPr>
        <w:t xml:space="preserve">    八、时间安排</w:t>
      </w:r>
    </w:p>
    <w:p w14:paraId="478CF06A">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一）国家社科基金教育学重大项目网络申报系统于4月28日零时至5月30日17时开放，在此期间投标人可登录“全国教育科学规划管理平台”（https://202.205.185.227/）,以实名信息注册账号后进入系统，并按规定要求填写申报信息（已有账号者无需再次注册）。逾期系统自动关闭，不再受理申报。</w:t>
      </w:r>
    </w:p>
    <w:p w14:paraId="0FDE5BEB">
      <w:pPr>
        <w:spacing w:line="620" w:lineRule="exact"/>
        <w:rPr>
          <w:rFonts w:hint="eastAsia" w:ascii="仿宋" w:hAnsi="仿宋" w:eastAsia="仿宋" w:cs="仿宋"/>
          <w:sz w:val="32"/>
          <w:szCs w:val="32"/>
        </w:rPr>
      </w:pPr>
      <w:r>
        <w:rPr>
          <w:rFonts w:hint="eastAsia" w:ascii="仿宋" w:hAnsi="仿宋" w:eastAsia="仿宋" w:cs="仿宋"/>
          <w:sz w:val="32"/>
          <w:szCs w:val="32"/>
        </w:rPr>
        <w:t>“全国教育科学规划管理平台”中的“项目申报系统”为本次申报的唯一网络平台。有关申报系统及技术问题请咨询400-800-1636，电子信箱：support@e-plugger.com。</w:t>
      </w:r>
    </w:p>
    <w:p w14:paraId="0AF35F3C">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二）二级管理单位网上审核提交截止时间为2025年6月9日17时。审核期间可以退回修改再提交但不能新增申报。二级管理单位需将系统生成的本地区（本单位）《申报数据汇总表》加盖公章的扫描件及审查合格的《投标书》在平台上提交至全规办；6月15日之前把加盖公章的纸质《投标书》报送至全规办，并确保数据的真实性、完整性和一致性。《投标书》采用A3双面印制，中缝装订或胶装，一式6份（原件1份，复印件5份）。投标人须提交的3篇与申报选题研究主题相关的代表性成果，如果是论文，可以排版在《投标书》中；如果是著作，需要同时寄送5本给我办。</w:t>
      </w:r>
    </w:p>
    <w:p w14:paraId="62A451B4">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（三）全规办对《投标书》进行资格审查，组织专家对通过资格审查的投标材料进行评审，提出建议中标项目名单并按程序立项。</w:t>
      </w:r>
    </w:p>
    <w:p w14:paraId="7419A3B2">
      <w:pPr>
        <w:spacing w:line="620" w:lineRule="exact"/>
        <w:rPr>
          <w:rFonts w:hint="eastAsia" w:ascii="仿宋" w:hAnsi="仿宋" w:eastAsia="仿宋" w:cs="仿宋"/>
          <w:sz w:val="32"/>
          <w:szCs w:val="32"/>
        </w:rPr>
      </w:pPr>
      <w:r>
        <w:rPr>
          <w:rFonts w:hint="eastAsia" w:ascii="仿宋" w:hAnsi="仿宋" w:eastAsia="仿宋" w:cs="仿宋"/>
          <w:sz w:val="32"/>
          <w:szCs w:val="32"/>
        </w:rPr>
        <w:t xml:space="preserve">    邮寄地址：北京市海淀区北三环中路46号全国教育科学规划领导小组办公室。010—62003471、62003308；邮政编码：100088。</w:t>
      </w:r>
    </w:p>
    <w:p w14:paraId="542A96DD">
      <w:pPr>
        <w:spacing w:line="620" w:lineRule="exact"/>
        <w:rPr>
          <w:rFonts w:hint="eastAsia" w:ascii="仿宋" w:hAnsi="仿宋" w:eastAsia="仿宋" w:cs="仿宋"/>
          <w:sz w:val="32"/>
          <w:szCs w:val="32"/>
        </w:rPr>
      </w:pPr>
    </w:p>
    <w:p w14:paraId="6A229CC3">
      <w:pPr>
        <w:spacing w:line="620" w:lineRule="exact"/>
        <w:rPr>
          <w:rFonts w:ascii="仿宋_GB2312" w:hAnsi="仿宋" w:eastAsia="仿宋_GB2312"/>
          <w:sz w:val="32"/>
          <w:szCs w:val="32"/>
        </w:rPr>
      </w:pPr>
    </w:p>
    <w:p w14:paraId="606588F8">
      <w:pPr>
        <w:spacing w:line="620" w:lineRule="exact"/>
        <w:ind w:right="320"/>
        <w:jc w:val="right"/>
        <w:rPr>
          <w:rFonts w:ascii="仿宋_GB2312" w:hAnsi="仿宋" w:eastAsia="仿宋_GB2312"/>
          <w:sz w:val="32"/>
          <w:szCs w:val="32"/>
        </w:rPr>
      </w:pPr>
      <w:r>
        <w:rPr>
          <w:rFonts w:hint="eastAsia" w:ascii="仿宋_GB2312" w:hAnsi="仿宋" w:eastAsia="仿宋_GB2312"/>
          <w:sz w:val="32"/>
          <w:szCs w:val="32"/>
        </w:rPr>
        <w:t>全国教育科学规划领导小组办公室</w:t>
      </w:r>
    </w:p>
    <w:p w14:paraId="2D93FECD">
      <w:pPr>
        <w:spacing w:line="620" w:lineRule="exact"/>
        <w:ind w:firstLine="4480" w:firstLineChars="14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年4月</w:t>
      </w:r>
      <w:bookmarkStart w:id="0" w:name="_GoBack"/>
      <w:bookmarkEnd w:id="0"/>
      <w:r>
        <w:rPr>
          <w:rFonts w:hint="eastAsia" w:ascii="仿宋_GB2312" w:hAnsi="仿宋" w:eastAsia="仿宋_GB2312"/>
          <w:sz w:val="32"/>
          <w:szCs w:val="32"/>
          <w:lang w:val="en-US" w:eastAsia="zh-CN"/>
        </w:rPr>
        <w:t>22</w:t>
      </w:r>
      <w:r>
        <w:rPr>
          <w:rFonts w:hint="eastAsia" w:ascii="仿宋_GB2312" w:hAnsi="仿宋" w:eastAsia="仿宋_GB2312"/>
          <w:sz w:val="32"/>
          <w:szCs w:val="32"/>
        </w:rPr>
        <w:t>日</w:t>
      </w:r>
    </w:p>
    <w:p w14:paraId="5274BB08">
      <w:pPr>
        <w:ind w:right="840" w:firstLine="4480" w:firstLineChars="1400"/>
        <w:rPr>
          <w:rFonts w:ascii="仿宋_GB2312" w:hAnsi="宋体" w:eastAsia="仿宋_GB2312"/>
          <w:sz w:val="32"/>
          <w:szCs w:val="32"/>
        </w:rPr>
      </w:pPr>
    </w:p>
    <w:p w14:paraId="29AED5C2">
      <w:pPr>
        <w:ind w:right="840" w:firstLine="4480" w:firstLineChars="1400"/>
        <w:rPr>
          <w:rFonts w:ascii="仿宋_GB2312" w:hAnsi="宋体"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CE87A3-9421-4CB9-8CB2-A67EC5715A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0010101010101"/>
    <w:charset w:val="86"/>
    <w:family w:val="script"/>
    <w:pitch w:val="default"/>
    <w:sig w:usb0="A00002BF" w:usb1="184F6CFA" w:usb2="00000012" w:usb3="00000000" w:csb0="00040001" w:csb1="00000000"/>
    <w:embedRegular r:id="rId2" w:fontKey="{4AD9CE62-D74A-47B1-8C8E-99936AB85D21}"/>
  </w:font>
  <w:font w:name="仿宋_GB2312">
    <w:altName w:val="仿宋"/>
    <w:panose1 w:val="02010609030101010101"/>
    <w:charset w:val="86"/>
    <w:family w:val="modern"/>
    <w:pitch w:val="default"/>
    <w:sig w:usb0="00000000" w:usb1="00000000" w:usb2="00000010" w:usb3="00000000" w:csb0="00040000" w:csb1="00000000"/>
    <w:embedRegular r:id="rId3" w:fontKey="{21BCEE64-C900-479F-9723-A810BEF8C919}"/>
  </w:font>
  <w:font w:name="仿宋">
    <w:panose1 w:val="02010609060101010101"/>
    <w:charset w:val="86"/>
    <w:family w:val="modern"/>
    <w:pitch w:val="default"/>
    <w:sig w:usb0="800002BF" w:usb1="38CF7CFA" w:usb2="00000016" w:usb3="00000000" w:csb0="00040001" w:csb1="00000000"/>
    <w:embedRegular r:id="rId4" w:fontKey="{53D167AA-1869-4CD3-B7C4-1656B77CBE3F}"/>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4571190"/>
      <w:docPartObj>
        <w:docPartGallery w:val="AutoText"/>
      </w:docPartObj>
    </w:sdtPr>
    <w:sdtEndPr>
      <w:rPr>
        <w:rFonts w:ascii="宋体" w:hAnsi="宋体" w:eastAsia="宋体"/>
        <w:sz w:val="28"/>
        <w:szCs w:val="28"/>
      </w:rPr>
    </w:sdtEndPr>
    <w:sdtContent>
      <w:p w14:paraId="718E10E6">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14:paraId="6A5A203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1F"/>
    <w:rsid w:val="00160272"/>
    <w:rsid w:val="001827F1"/>
    <w:rsid w:val="001B6384"/>
    <w:rsid w:val="003B17A5"/>
    <w:rsid w:val="003B4E66"/>
    <w:rsid w:val="003F601F"/>
    <w:rsid w:val="004A3224"/>
    <w:rsid w:val="004B6074"/>
    <w:rsid w:val="00684B39"/>
    <w:rsid w:val="006A5817"/>
    <w:rsid w:val="007A396E"/>
    <w:rsid w:val="007F4531"/>
    <w:rsid w:val="00823C02"/>
    <w:rsid w:val="0083472B"/>
    <w:rsid w:val="008C5252"/>
    <w:rsid w:val="00961A8A"/>
    <w:rsid w:val="00991297"/>
    <w:rsid w:val="009C6A4E"/>
    <w:rsid w:val="009D1DCF"/>
    <w:rsid w:val="009F1756"/>
    <w:rsid w:val="00A21827"/>
    <w:rsid w:val="00A21C1E"/>
    <w:rsid w:val="00B41867"/>
    <w:rsid w:val="00B7720B"/>
    <w:rsid w:val="00B87AE2"/>
    <w:rsid w:val="00B9718F"/>
    <w:rsid w:val="00C54E67"/>
    <w:rsid w:val="00CD5178"/>
    <w:rsid w:val="00D64E47"/>
    <w:rsid w:val="00E631B0"/>
    <w:rsid w:val="00F42F4E"/>
    <w:rsid w:val="1C65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2837</Words>
  <Characters>2956</Characters>
  <Lines>22</Lines>
  <Paragraphs>6</Paragraphs>
  <TotalTime>4</TotalTime>
  <ScaleCrop>false</ScaleCrop>
  <LinksUpToDate>false</LinksUpToDate>
  <CharactersWithSpaces>3080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2024-05-07T06:44:00Z</dcterms:created>
  <dc:creator>Administrator</dc:creator>
  <cp:lastModifiedBy>程志</cp:lastModifiedBy>
  <cp:lastPrinted>2024-05-06T08:12:00Z</cp:lastPrinted>
  <dcterms:modified xsi:type="dcterms:W3CDTF">2025-04-25T02:55:50Z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eyJoZGlkIjoiODgzNTA4NDNmYzc4NDQ2M2FlM2NkMzljZjljNjc2ZjciLCJ1c2VySWQiOiI1MDQ0NzY3NDIifQ==</vt:lpwstr>
  </property>
  <property fmtid="{D5CDD505-2E9C-101B-9397-08002B2CF9AE}" pid="3" name="KSOProductBuildVer">
    <vt:lpwstr>2052-12.1.0.20784</vt:lpwstr>
  </property>
  <property fmtid="{D5CDD505-2E9C-101B-9397-08002B2CF9AE}" pid="4" name="ICV">
    <vt:lpwstr>A8D31E66FA8C404D96835B4C5C6D1028_13</vt:lpwstr>
  </property>
</Properties>
</file>